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9278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9639"/>
      </w:tblGrid>
      <w:tr w:rsidR="00E15659" w:rsidRPr="008517B5" w14:paraId="5E899E5F" w14:textId="1F62E048" w:rsidTr="00E15659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E15659" w:rsidRPr="008517B5" w:rsidRDefault="00E15659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2F42F550" w14:textId="77777777" w:rsidR="00E15659" w:rsidRDefault="00E15659" w:rsidP="00E16134">
            <w:pPr>
              <w:pStyle w:val="Nadpisobsahu"/>
              <w:tabs>
                <w:tab w:val="left" w:pos="6300"/>
                <w:tab w:val="left" w:pos="8395"/>
              </w:tabs>
            </w:pPr>
          </w:p>
        </w:tc>
      </w:tr>
      <w:tr w:rsidR="00E15659" w14:paraId="3343A831" w14:textId="36C9B8A8" w:rsidTr="00E15659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E15659" w:rsidRDefault="00E15659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73BDE084" w14:textId="77777777" w:rsidR="00E15659" w:rsidRDefault="00E15659" w:rsidP="00E16134">
            <w:pPr>
              <w:pStyle w:val="tvar"/>
              <w:spacing w:before="120" w:after="120"/>
              <w:ind w:left="-109"/>
            </w:pPr>
          </w:p>
        </w:tc>
      </w:tr>
    </w:tbl>
    <w:p w14:paraId="30E2D446" w14:textId="77777777" w:rsidR="00ED4ADD" w:rsidRDefault="00ED4ADD" w:rsidP="00ED4ADD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Návrh zadání dokumentu Analýza stavu výzkumu, vývoje a inovací v České republice a jejich srovnání se zahraničím v roce 2024</w:t>
      </w:r>
    </w:p>
    <w:p w14:paraId="08F65308" w14:textId="77777777" w:rsidR="00ED4ADD" w:rsidRPr="008829BC" w:rsidRDefault="00ED4ADD" w:rsidP="00ED4ADD">
      <w:pPr>
        <w:pStyle w:val="Nadpisbezstranky"/>
        <w:rPr>
          <w:bCs w:val="0"/>
          <w:smallCaps w:val="0"/>
          <w:color w:val="0070C0"/>
          <w:sz w:val="24"/>
          <w:szCs w:val="24"/>
        </w:rPr>
      </w:pPr>
      <w:bookmarkStart w:id="0" w:name="_Toc126158458"/>
      <w:bookmarkStart w:id="1" w:name="_Toc132209729"/>
      <w:r w:rsidRPr="008829BC">
        <w:rPr>
          <w:bCs w:val="0"/>
          <w:smallCaps w:val="0"/>
          <w:color w:val="0070C0"/>
          <w:sz w:val="24"/>
          <w:szCs w:val="24"/>
        </w:rPr>
        <w:t>Základní informace</w:t>
      </w:r>
      <w:bookmarkEnd w:id="0"/>
      <w:bookmarkEnd w:id="1"/>
    </w:p>
    <w:p w14:paraId="6CDC05F6" w14:textId="77777777" w:rsidR="00ED4ADD" w:rsidRPr="00FE3C1A" w:rsidRDefault="00ED4ADD" w:rsidP="00ED4AD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E3C1A">
        <w:rPr>
          <w:rFonts w:ascii="Arial" w:hAnsi="Arial" w:cs="Arial"/>
          <w:sz w:val="22"/>
          <w:szCs w:val="22"/>
        </w:rPr>
        <w:t xml:space="preserve">Analýzu stavu výzkumu, vývoje a inovací v České republice (ČR) a jejich srovnání se zahraničím (dále jen „Analýza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“) </w:t>
      </w:r>
      <w:r w:rsidRPr="00FE3C1A">
        <w:rPr>
          <w:rFonts w:ascii="Arial" w:hAnsi="Arial" w:cs="Arial"/>
          <w:b/>
          <w:sz w:val="22"/>
          <w:szCs w:val="22"/>
        </w:rPr>
        <w:t>zpracovává každoročně Rada pro výzkum, vývoj a inovace</w:t>
      </w:r>
      <w:r w:rsidRPr="00FE3C1A">
        <w:rPr>
          <w:rFonts w:ascii="Arial" w:hAnsi="Arial" w:cs="Arial"/>
          <w:sz w:val="22"/>
          <w:szCs w:val="22"/>
        </w:rPr>
        <w:t xml:space="preserve"> (dále jen „Rada“) v souladu s ustanovením § 35 odst. 2 písm. g) zákona č.</w:t>
      </w:r>
      <w:r>
        <w:rPr>
          <w:rFonts w:ascii="Arial" w:hAnsi="Arial" w:cs="Arial"/>
          <w:sz w:val="22"/>
          <w:szCs w:val="22"/>
        </w:rPr>
        <w:t> </w:t>
      </w:r>
      <w:r w:rsidRPr="00FE3C1A">
        <w:rPr>
          <w:rFonts w:ascii="Arial" w:hAnsi="Arial" w:cs="Arial"/>
          <w:sz w:val="22"/>
          <w:szCs w:val="22"/>
        </w:rPr>
        <w:t>130/2002 Sb., o podpoře výzkumu, experimentálního vývoje a inovací z veřejných prostředků a o změně některých souvisejících zákonů (zákon o podpoře výzkumu, experimentálního vývoje a</w:t>
      </w:r>
      <w:r>
        <w:rPr>
          <w:rFonts w:ascii="Arial" w:hAnsi="Arial" w:cs="Arial"/>
          <w:sz w:val="22"/>
          <w:szCs w:val="22"/>
        </w:rPr>
        <w:t> </w:t>
      </w:r>
      <w:r w:rsidRPr="00FE3C1A">
        <w:rPr>
          <w:rFonts w:ascii="Arial" w:hAnsi="Arial" w:cs="Arial"/>
          <w:sz w:val="22"/>
          <w:szCs w:val="22"/>
        </w:rPr>
        <w:t>inovací), ve znění pozdějších změn.</w:t>
      </w:r>
    </w:p>
    <w:p w14:paraId="4FDDA713" w14:textId="56444083" w:rsidR="00ED4ADD" w:rsidRPr="00FE3C1A" w:rsidRDefault="00ED4ADD" w:rsidP="00ED4ADD">
      <w:pPr>
        <w:spacing w:after="120"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E3C1A">
        <w:rPr>
          <w:rFonts w:ascii="Arial" w:hAnsi="Arial" w:cs="Arial"/>
          <w:sz w:val="22"/>
          <w:szCs w:val="22"/>
        </w:rPr>
        <w:t xml:space="preserve">Termín předložení Analýzy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za rok 2024 na jednání Rady je předběžně navržen na </w:t>
      </w:r>
      <w:r w:rsidR="00982495">
        <w:rPr>
          <w:rFonts w:ascii="Arial" w:hAnsi="Arial" w:cs="Arial"/>
          <w:b/>
          <w:bCs/>
          <w:sz w:val="22"/>
          <w:szCs w:val="22"/>
        </w:rPr>
        <w:t>první kvartál roku</w:t>
      </w:r>
      <w:r w:rsidRPr="00FE3C1A">
        <w:rPr>
          <w:rFonts w:ascii="Arial" w:hAnsi="Arial" w:cs="Arial"/>
          <w:b/>
          <w:bCs/>
          <w:sz w:val="22"/>
          <w:szCs w:val="22"/>
        </w:rPr>
        <w:t> 2026</w:t>
      </w:r>
      <w:r w:rsidRPr="00FE3C1A">
        <w:rPr>
          <w:rFonts w:ascii="Arial" w:hAnsi="Arial" w:cs="Arial"/>
          <w:sz w:val="22"/>
          <w:szCs w:val="22"/>
        </w:rPr>
        <w:t>. Následně bude schválený dokument předložen na jednání vlády pro</w:t>
      </w:r>
      <w:r>
        <w:rPr>
          <w:rFonts w:ascii="Arial" w:hAnsi="Arial" w:cs="Arial"/>
          <w:sz w:val="22"/>
          <w:szCs w:val="22"/>
        </w:rPr>
        <w:t> </w:t>
      </w:r>
      <w:r w:rsidRPr="00FE3C1A">
        <w:rPr>
          <w:rFonts w:ascii="Arial" w:hAnsi="Arial" w:cs="Arial"/>
          <w:sz w:val="22"/>
          <w:szCs w:val="22"/>
        </w:rPr>
        <w:t>informaci.</w:t>
      </w:r>
    </w:p>
    <w:p w14:paraId="055F75B9" w14:textId="77777777" w:rsidR="00ED4ADD" w:rsidRPr="00FE3C1A" w:rsidRDefault="00ED4ADD" w:rsidP="00ED4ADD">
      <w:pPr>
        <w:spacing w:after="12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E3C1A">
        <w:rPr>
          <w:rFonts w:ascii="Arial" w:hAnsi="Arial" w:cs="Arial"/>
          <w:b/>
          <w:sz w:val="22"/>
          <w:szCs w:val="22"/>
        </w:rPr>
        <w:t>Zpravodaji</w:t>
      </w:r>
      <w:r w:rsidRPr="00FE3C1A">
        <w:rPr>
          <w:rFonts w:ascii="Arial" w:hAnsi="Arial" w:cs="Arial"/>
          <w:sz w:val="22"/>
          <w:szCs w:val="22"/>
        </w:rPr>
        <w:t xml:space="preserve"> materiálu jsou:</w:t>
      </w:r>
    </w:p>
    <w:p w14:paraId="3A33EA50" w14:textId="77777777" w:rsidR="00ED4ADD" w:rsidRPr="00FE3C1A" w:rsidRDefault="00ED4ADD" w:rsidP="00ED4ADD">
      <w:pPr>
        <w:spacing w:after="120" w:line="360" w:lineRule="auto"/>
        <w:ind w:left="284" w:firstLine="425"/>
        <w:contextualSpacing/>
        <w:jc w:val="both"/>
        <w:rPr>
          <w:rFonts w:ascii="Arial" w:hAnsi="Arial" w:cs="Arial"/>
          <w:sz w:val="22"/>
          <w:szCs w:val="22"/>
        </w:rPr>
      </w:pPr>
      <w:r w:rsidRPr="00FE3C1A">
        <w:rPr>
          <w:rFonts w:ascii="Arial" w:hAnsi="Arial" w:cs="Arial"/>
          <w:sz w:val="22"/>
          <w:szCs w:val="22"/>
        </w:rPr>
        <w:t xml:space="preserve">– </w:t>
      </w:r>
      <w:r w:rsidRPr="00FE3C1A">
        <w:rPr>
          <w:rFonts w:ascii="Arial" w:hAnsi="Arial" w:cs="Arial"/>
          <w:b/>
          <w:bCs/>
          <w:sz w:val="22"/>
          <w:szCs w:val="22"/>
        </w:rPr>
        <w:t>prof. PhDr. Dana Hamplová, Ph.D.</w:t>
      </w:r>
      <w:r w:rsidRPr="00FE3C1A">
        <w:rPr>
          <w:rFonts w:ascii="Arial" w:hAnsi="Arial" w:cs="Arial"/>
          <w:sz w:val="22"/>
          <w:szCs w:val="22"/>
        </w:rPr>
        <w:t xml:space="preserve"> a</w:t>
      </w:r>
    </w:p>
    <w:p w14:paraId="74B0CA10" w14:textId="77777777" w:rsidR="00ED4ADD" w:rsidRPr="00FE3C1A" w:rsidRDefault="00ED4ADD" w:rsidP="00ED4ADD">
      <w:pPr>
        <w:spacing w:after="120" w:line="360" w:lineRule="auto"/>
        <w:ind w:left="284" w:firstLine="425"/>
        <w:jc w:val="both"/>
        <w:rPr>
          <w:rFonts w:ascii="Arial" w:hAnsi="Arial" w:cs="Arial"/>
          <w:color w:val="1F2046"/>
          <w:sz w:val="22"/>
          <w:szCs w:val="22"/>
        </w:rPr>
      </w:pPr>
      <w:r w:rsidRPr="00FE3C1A">
        <w:rPr>
          <w:rFonts w:ascii="Arial" w:hAnsi="Arial" w:cs="Arial"/>
          <w:sz w:val="22"/>
          <w:szCs w:val="22"/>
        </w:rPr>
        <w:t xml:space="preserve">– </w:t>
      </w:r>
      <w:r w:rsidRPr="00FE3C1A">
        <w:rPr>
          <w:rFonts w:ascii="Arial" w:hAnsi="Arial" w:cs="Arial"/>
          <w:b/>
          <w:bCs/>
          <w:sz w:val="22"/>
          <w:szCs w:val="22"/>
        </w:rPr>
        <w:t>prof. Ing. Vladimír Mařík, DrSc., dr. h. c.</w:t>
      </w:r>
    </w:p>
    <w:p w14:paraId="7149B358" w14:textId="77777777" w:rsidR="00ED4ADD" w:rsidRPr="008829BC" w:rsidRDefault="00ED4ADD" w:rsidP="00ED4ADD">
      <w:pPr>
        <w:pStyle w:val="Nadpisbezstranky"/>
        <w:rPr>
          <w:bCs w:val="0"/>
          <w:smallCaps w:val="0"/>
          <w:color w:val="0070C0"/>
          <w:sz w:val="24"/>
          <w:szCs w:val="24"/>
        </w:rPr>
      </w:pPr>
      <w:bookmarkStart w:id="2" w:name="_Toc126158459"/>
      <w:bookmarkStart w:id="3" w:name="_Toc132209730"/>
      <w:r w:rsidRPr="008829BC">
        <w:rPr>
          <w:bCs w:val="0"/>
          <w:smallCaps w:val="0"/>
          <w:color w:val="0070C0"/>
          <w:sz w:val="24"/>
          <w:szCs w:val="24"/>
        </w:rPr>
        <w:t xml:space="preserve">Zpracování předchozích Analýz </w:t>
      </w:r>
      <w:proofErr w:type="spellStart"/>
      <w:r w:rsidRPr="008829BC">
        <w:rPr>
          <w:bCs w:val="0"/>
          <w:smallCaps w:val="0"/>
          <w:color w:val="0070C0"/>
          <w:sz w:val="24"/>
          <w:szCs w:val="24"/>
        </w:rPr>
        <w:t>VaVaI</w:t>
      </w:r>
      <w:proofErr w:type="spellEnd"/>
      <w:r w:rsidRPr="008829BC">
        <w:rPr>
          <w:bCs w:val="0"/>
          <w:smallCaps w:val="0"/>
          <w:color w:val="0070C0"/>
          <w:sz w:val="24"/>
          <w:szCs w:val="24"/>
        </w:rPr>
        <w:t xml:space="preserve"> v letech 2014–202</w:t>
      </w:r>
      <w:bookmarkEnd w:id="2"/>
      <w:bookmarkEnd w:id="3"/>
      <w:r w:rsidRPr="008829BC">
        <w:rPr>
          <w:bCs w:val="0"/>
          <w:smallCaps w:val="0"/>
          <w:color w:val="0070C0"/>
          <w:sz w:val="24"/>
          <w:szCs w:val="24"/>
        </w:rPr>
        <w:t>3</w:t>
      </w:r>
    </w:p>
    <w:p w14:paraId="33721DC5" w14:textId="77777777" w:rsidR="00ED4ADD" w:rsidRPr="00FE3C1A" w:rsidRDefault="00ED4ADD" w:rsidP="00ED4ADD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FE3C1A">
        <w:rPr>
          <w:rFonts w:ascii="Arial" w:hAnsi="Arial" w:cs="Arial"/>
          <w:sz w:val="22"/>
          <w:szCs w:val="22"/>
        </w:rPr>
        <w:t xml:space="preserve">Cílem Analýzy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je na základě klíčových indikátorů výzkumu, vývoje a inovací (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) a vztahů mezi nimi poukázat na silné a slabé aspekty systému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v České republice a podat tak aktuální a ucelené informace o jeho stavu a výkonnosti, přičemž důraz je kladen na mezinárodní srovnání. Výsledky analýzy představují </w:t>
      </w:r>
      <w:r w:rsidRPr="00FE3C1A">
        <w:rPr>
          <w:rFonts w:ascii="Arial" w:hAnsi="Arial" w:cs="Arial"/>
          <w:b/>
          <w:bCs/>
          <w:sz w:val="22"/>
          <w:szCs w:val="22"/>
        </w:rPr>
        <w:t>objektivní datový podklad pro strategická rozhodnutí v oblasti vědní politiky a východiska pro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FE3C1A">
        <w:rPr>
          <w:rFonts w:ascii="Arial" w:hAnsi="Arial" w:cs="Arial"/>
          <w:b/>
          <w:bCs/>
          <w:sz w:val="22"/>
          <w:szCs w:val="22"/>
        </w:rPr>
        <w:t>identifikaci klíčových příležitostí i bariér, které ovlivňují budoucí rozvoj českého výzkumného a inovačního prostředí</w:t>
      </w:r>
      <w:r w:rsidRPr="00FE3C1A">
        <w:rPr>
          <w:rFonts w:ascii="Arial" w:hAnsi="Arial" w:cs="Arial"/>
          <w:sz w:val="22"/>
          <w:szCs w:val="22"/>
        </w:rPr>
        <w:t>. Z podstaty dokumentu v něm nejsou obsaženy hodnotící soudy ani doporučení.</w:t>
      </w:r>
    </w:p>
    <w:p w14:paraId="3BECF080" w14:textId="77777777" w:rsidR="00ED4ADD" w:rsidRPr="00FE3C1A" w:rsidRDefault="00ED4ADD" w:rsidP="00ED4AD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E3C1A">
        <w:rPr>
          <w:rFonts w:ascii="Arial" w:hAnsi="Arial" w:cs="Arial"/>
          <w:sz w:val="22"/>
          <w:szCs w:val="22"/>
        </w:rPr>
        <w:t xml:space="preserve">Analýzy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jsou od roku 2014 </w:t>
      </w:r>
      <w:r w:rsidRPr="00FE3C1A">
        <w:rPr>
          <w:rFonts w:ascii="Arial" w:hAnsi="Arial" w:cs="Arial"/>
          <w:b/>
          <w:sz w:val="22"/>
          <w:szCs w:val="22"/>
        </w:rPr>
        <w:t>zpracovávány s využitím interních kapacit</w:t>
      </w:r>
      <w:r w:rsidRPr="00FE3C1A">
        <w:rPr>
          <w:rFonts w:ascii="Arial" w:hAnsi="Arial" w:cs="Arial"/>
          <w:sz w:val="22"/>
          <w:szCs w:val="22"/>
        </w:rPr>
        <w:t xml:space="preserve">, tj. státními zaměstnanci Úřadu vlády České republiky (ÚV ČR), aktuálně Odboru koordinace výzkumu, vývoje a inovací. Příprava kapitol probíhá ve spolupráci s odborníky z MŠMT, MPO, MV, TC Praha, ÚPV, ČSÚ apod. I v rámci Analýzy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v roce 2024 budou kapitoly </w:t>
      </w:r>
      <w:r w:rsidRPr="00FE3C1A">
        <w:rPr>
          <w:rFonts w:ascii="Arial" w:hAnsi="Arial" w:cs="Arial"/>
          <w:sz w:val="22"/>
          <w:szCs w:val="22"/>
        </w:rPr>
        <w:lastRenderedPageBreak/>
        <w:t>konzultovány s experty, navíc bude využita možnost datové a analytické podpory v rámci projektu sdílených činností STRATIN+.</w:t>
      </w:r>
      <w:r w:rsidRPr="00FE3C1A">
        <w:rPr>
          <w:rStyle w:val="Znakapoznpodarou"/>
          <w:rFonts w:ascii="Arial" w:hAnsi="Arial" w:cs="Arial"/>
          <w:sz w:val="22"/>
          <w:szCs w:val="22"/>
        </w:rPr>
        <w:footnoteReference w:id="1"/>
      </w:r>
    </w:p>
    <w:p w14:paraId="0BD3217D" w14:textId="77777777" w:rsidR="00ED4ADD" w:rsidRPr="00FE3C1A" w:rsidRDefault="00ED4ADD" w:rsidP="00ED4ADD">
      <w:pPr>
        <w:pStyle w:val="Nadpisbezstranky"/>
        <w:rPr>
          <w:bCs w:val="0"/>
          <w:smallCaps w:val="0"/>
          <w:color w:val="0070C0"/>
          <w:sz w:val="24"/>
          <w:szCs w:val="24"/>
        </w:rPr>
      </w:pPr>
      <w:r w:rsidRPr="00FE3C1A">
        <w:rPr>
          <w:bCs w:val="0"/>
          <w:smallCaps w:val="0"/>
          <w:color w:val="0070C0"/>
          <w:sz w:val="24"/>
          <w:szCs w:val="24"/>
        </w:rPr>
        <w:t xml:space="preserve">Podněty k přípravě Analýzy </w:t>
      </w:r>
      <w:proofErr w:type="spellStart"/>
      <w:r w:rsidRPr="00FE3C1A">
        <w:rPr>
          <w:bCs w:val="0"/>
          <w:smallCaps w:val="0"/>
          <w:color w:val="0070C0"/>
          <w:sz w:val="24"/>
          <w:szCs w:val="24"/>
        </w:rPr>
        <w:t>VaVaI</w:t>
      </w:r>
      <w:proofErr w:type="spellEnd"/>
      <w:r w:rsidRPr="00FE3C1A">
        <w:rPr>
          <w:bCs w:val="0"/>
          <w:smallCaps w:val="0"/>
          <w:color w:val="0070C0"/>
          <w:sz w:val="24"/>
          <w:szCs w:val="24"/>
        </w:rPr>
        <w:t xml:space="preserve"> za rok 2024</w:t>
      </w:r>
    </w:p>
    <w:p w14:paraId="3DB87AB9" w14:textId="77777777" w:rsidR="00ED4ADD" w:rsidRPr="00FE3C1A" w:rsidRDefault="00ED4ADD" w:rsidP="00ED4AD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E3C1A">
        <w:rPr>
          <w:rFonts w:ascii="Arial" w:hAnsi="Arial" w:cs="Arial"/>
          <w:sz w:val="22"/>
          <w:szCs w:val="22"/>
        </w:rPr>
        <w:t xml:space="preserve">V rámci diskuse při finalizaci Analýzy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za rok 2023 bylo vzneseno několik doporučení k přípravě nového dokumentu. Tato doporučení navrhují např. u projektů podpořených rámcovým programem Horizont Evropa využívat ukazatel FTE (z angl. Full Time </w:t>
      </w:r>
      <w:proofErr w:type="spellStart"/>
      <w:r w:rsidRPr="00FE3C1A">
        <w:rPr>
          <w:rFonts w:ascii="Arial" w:hAnsi="Arial" w:cs="Arial"/>
          <w:sz w:val="22"/>
          <w:szCs w:val="22"/>
        </w:rPr>
        <w:t>Equivalent</w:t>
      </w:r>
      <w:proofErr w:type="spellEnd"/>
      <w:r w:rsidRPr="00FE3C1A">
        <w:rPr>
          <w:rFonts w:ascii="Arial" w:hAnsi="Arial" w:cs="Arial"/>
          <w:sz w:val="22"/>
          <w:szCs w:val="22"/>
        </w:rPr>
        <w:t>) pouze z vládního a vysokoškolského sektoru, odkud se profiluje většina řešitelů nebo hlubší analýzu zapojení do programu MSCA s doprovodnou vizualizací ve</w:t>
      </w:r>
      <w:r>
        <w:rPr>
          <w:rFonts w:ascii="Arial" w:hAnsi="Arial" w:cs="Arial"/>
          <w:sz w:val="22"/>
          <w:szCs w:val="22"/>
        </w:rPr>
        <w:t> </w:t>
      </w:r>
      <w:r w:rsidRPr="00FE3C1A">
        <w:rPr>
          <w:rFonts w:ascii="Arial" w:hAnsi="Arial" w:cs="Arial"/>
          <w:sz w:val="22"/>
          <w:szCs w:val="22"/>
        </w:rPr>
        <w:t>formě dashboardu apod. Další případné podněty jsou očekávány ze strany členů Rady při</w:t>
      </w:r>
      <w:r>
        <w:rPr>
          <w:rFonts w:ascii="Arial" w:hAnsi="Arial" w:cs="Arial"/>
          <w:sz w:val="22"/>
          <w:szCs w:val="22"/>
        </w:rPr>
        <w:t> </w:t>
      </w:r>
      <w:r w:rsidRPr="00FE3C1A">
        <w:rPr>
          <w:rFonts w:ascii="Arial" w:hAnsi="Arial" w:cs="Arial"/>
          <w:sz w:val="22"/>
          <w:szCs w:val="22"/>
        </w:rPr>
        <w:t>projednávání tohoto Návrhu zadání.</w:t>
      </w:r>
    </w:p>
    <w:p w14:paraId="6948DB87" w14:textId="77777777" w:rsidR="00ED4ADD" w:rsidRPr="008829BC" w:rsidRDefault="00ED4ADD" w:rsidP="00ED4ADD">
      <w:pPr>
        <w:pStyle w:val="Nadpisbezstranky"/>
        <w:rPr>
          <w:bCs w:val="0"/>
          <w:smallCaps w:val="0"/>
          <w:color w:val="0070C0"/>
          <w:sz w:val="24"/>
          <w:szCs w:val="24"/>
        </w:rPr>
      </w:pPr>
      <w:r w:rsidRPr="008829BC">
        <w:rPr>
          <w:bCs w:val="0"/>
          <w:smallCaps w:val="0"/>
          <w:color w:val="0070C0"/>
          <w:sz w:val="24"/>
          <w:szCs w:val="24"/>
        </w:rPr>
        <w:t>Obecná struktura a tematické oblasti</w:t>
      </w:r>
    </w:p>
    <w:p w14:paraId="2B1ABF75" w14:textId="77777777" w:rsidR="00ED4ADD" w:rsidRPr="00FE3C1A" w:rsidRDefault="00ED4ADD" w:rsidP="00ED4AD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E3C1A">
        <w:rPr>
          <w:rFonts w:ascii="Arial" w:hAnsi="Arial" w:cs="Arial"/>
          <w:sz w:val="22"/>
          <w:szCs w:val="22"/>
        </w:rPr>
        <w:t xml:space="preserve">Analýza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v roce 2024 bude kopírovat strukturu Analýzy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v roce 2023 (viz Návrh obsahu dokumentu). Budou aktualizována loňská analytická zjištění a doplněny nejvýznamnější fenomény roku 2024 (např. zahrnutí 16. rozpočtové kapitoly ČÚZK či</w:t>
      </w:r>
      <w:r>
        <w:rPr>
          <w:rFonts w:ascii="Arial" w:hAnsi="Arial" w:cs="Arial"/>
          <w:sz w:val="22"/>
          <w:szCs w:val="22"/>
        </w:rPr>
        <w:t> </w:t>
      </w:r>
      <w:r w:rsidRPr="00FE3C1A">
        <w:rPr>
          <w:rFonts w:ascii="Arial" w:hAnsi="Arial" w:cs="Arial"/>
          <w:sz w:val="22"/>
          <w:szCs w:val="22"/>
        </w:rPr>
        <w:t xml:space="preserve">výstupů zpráv </w:t>
      </w:r>
      <w:proofErr w:type="spellStart"/>
      <w:r w:rsidRPr="00FE3C1A">
        <w:rPr>
          <w:rFonts w:ascii="Arial" w:hAnsi="Arial" w:cs="Arial"/>
          <w:sz w:val="22"/>
          <w:szCs w:val="22"/>
        </w:rPr>
        <w:t>Letta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E3C1A">
        <w:rPr>
          <w:rFonts w:ascii="Arial" w:hAnsi="Arial" w:cs="Arial"/>
          <w:sz w:val="22"/>
          <w:szCs w:val="22"/>
        </w:rPr>
        <w:t>Draghi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a </w:t>
      </w:r>
      <w:proofErr w:type="spellStart"/>
      <w:r w:rsidRPr="00FE3C1A">
        <w:rPr>
          <w:rFonts w:ascii="Arial" w:hAnsi="Arial" w:cs="Arial"/>
          <w:sz w:val="22"/>
          <w:szCs w:val="22"/>
        </w:rPr>
        <w:t>Heitor</w:t>
      </w:r>
      <w:proofErr w:type="spellEnd"/>
      <w:r w:rsidRPr="00FE3C1A">
        <w:rPr>
          <w:rFonts w:ascii="Arial" w:hAnsi="Arial" w:cs="Arial"/>
          <w:sz w:val="22"/>
          <w:szCs w:val="22"/>
        </w:rPr>
        <w:t>). Přílohová část bude redukována a v maximální možné míře budou grafy navráceny do textu, při zachování kompaktnosti a čtenářského komfortu. Dokument bude působit věcně a celistvě. Rozsah a grafický koncept je plánován, s výjimkou změny vizuálu loga ÚV ČR, potažmo Rady, v obvyklém provedení.</w:t>
      </w:r>
    </w:p>
    <w:p w14:paraId="3C2FB72F" w14:textId="77777777" w:rsidR="00ED4ADD" w:rsidRPr="00FE3C1A" w:rsidRDefault="00ED4ADD" w:rsidP="00ED4ADD">
      <w:pPr>
        <w:spacing w:after="120"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E3C1A">
        <w:rPr>
          <w:rFonts w:ascii="Arial" w:hAnsi="Arial" w:cs="Arial"/>
          <w:bCs/>
          <w:sz w:val="22"/>
          <w:szCs w:val="22"/>
        </w:rPr>
        <w:t>Z metodologického hlediska bude využita analýza strukturovaných i velkých dat souběžně s prvky deskriptivní statistiky. Bude kladen důraz na přesnou, transparentní a</w:t>
      </w:r>
      <w:r>
        <w:rPr>
          <w:rFonts w:ascii="Arial" w:hAnsi="Arial" w:cs="Arial"/>
          <w:bCs/>
          <w:sz w:val="22"/>
          <w:szCs w:val="22"/>
        </w:rPr>
        <w:t> </w:t>
      </w:r>
      <w:r w:rsidRPr="00FE3C1A">
        <w:rPr>
          <w:rFonts w:ascii="Arial" w:hAnsi="Arial" w:cs="Arial"/>
          <w:bCs/>
          <w:sz w:val="22"/>
          <w:szCs w:val="22"/>
        </w:rPr>
        <w:t xml:space="preserve">reprodukovatelnou interpretaci dat. </w:t>
      </w:r>
      <w:r w:rsidRPr="00FE3C1A">
        <w:rPr>
          <w:rFonts w:ascii="Arial" w:hAnsi="Arial" w:cs="Arial"/>
          <w:sz w:val="22"/>
          <w:szCs w:val="22"/>
        </w:rPr>
        <w:t xml:space="preserve">Budou využity dostupné nástroje datové analytiky jako jsou MS Excel, relační databáze </w:t>
      </w:r>
      <w:proofErr w:type="spellStart"/>
      <w:r w:rsidRPr="00FE3C1A">
        <w:rPr>
          <w:rFonts w:ascii="Arial" w:hAnsi="Arial" w:cs="Arial"/>
          <w:sz w:val="22"/>
          <w:szCs w:val="22"/>
        </w:rPr>
        <w:t>MySQL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, produkty Business </w:t>
      </w:r>
      <w:proofErr w:type="spellStart"/>
      <w:r w:rsidRPr="00FE3C1A">
        <w:rPr>
          <w:rFonts w:ascii="Arial" w:hAnsi="Arial" w:cs="Arial"/>
          <w:sz w:val="22"/>
          <w:szCs w:val="22"/>
        </w:rPr>
        <w:t>Intelligence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MS </w:t>
      </w:r>
      <w:proofErr w:type="spellStart"/>
      <w:r w:rsidRPr="00FE3C1A">
        <w:rPr>
          <w:rFonts w:ascii="Arial" w:hAnsi="Arial" w:cs="Arial"/>
          <w:sz w:val="22"/>
          <w:szCs w:val="22"/>
        </w:rPr>
        <w:t>Power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BI či</w:t>
      </w:r>
      <w:r>
        <w:rPr>
          <w:rFonts w:ascii="Arial" w:hAnsi="Arial" w:cs="Arial"/>
          <w:sz w:val="22"/>
          <w:szCs w:val="22"/>
        </w:rPr>
        <w:t> </w:t>
      </w:r>
      <w:proofErr w:type="spellStart"/>
      <w:r w:rsidRPr="00FE3C1A">
        <w:rPr>
          <w:rFonts w:ascii="Arial" w:hAnsi="Arial" w:cs="Arial"/>
          <w:sz w:val="22"/>
          <w:szCs w:val="22"/>
        </w:rPr>
        <w:t>Tableau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. Výstupy ve formě tabulek, grafů a metrik budou efektivně vizualizovány, aby důstojně reprezentovaly povahu Analýzy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v roce 2024 a odpovídaly moderním grafickým standardům.</w:t>
      </w:r>
    </w:p>
    <w:p w14:paraId="03DC49F3" w14:textId="4CA8ED00" w:rsidR="008D4308" w:rsidRDefault="00ED4ADD" w:rsidP="00ED4ADD">
      <w:pPr>
        <w:spacing w:after="120"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E3C1A">
        <w:rPr>
          <w:rFonts w:ascii="Arial" w:hAnsi="Arial" w:cs="Arial"/>
          <w:sz w:val="22"/>
          <w:szCs w:val="22"/>
        </w:rPr>
        <w:t xml:space="preserve">Analýza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v roce 2024 bude uvedena slovem předsedy Rady. První kapitola bude zaměřena tradičně na charakteristiku systému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 v České republice. Budou připomenuty aktuální strategické a koncepční dokumenty a legislativní rámec s důrazem na</w:t>
      </w:r>
      <w:r>
        <w:rPr>
          <w:rFonts w:ascii="Arial" w:hAnsi="Arial" w:cs="Arial"/>
          <w:sz w:val="22"/>
          <w:szCs w:val="22"/>
        </w:rPr>
        <w:t> </w:t>
      </w:r>
      <w:r w:rsidRPr="00FE3C1A">
        <w:rPr>
          <w:rFonts w:ascii="Arial" w:hAnsi="Arial" w:cs="Arial"/>
          <w:sz w:val="22"/>
          <w:szCs w:val="22"/>
        </w:rPr>
        <w:t xml:space="preserve">návrh zákona o výzkumu, vývoji, inovacích a transferu znalostí. Bude uveden přehled klíčových aktérů, poskytovatelů a programů podpory a popsán proces přípravy státního rozpočtu na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. Kapitola Finance poskytne podrobný makroekonomický přehled a detail čerpání finančních prostředků skrze přímou i nepřímou podporu. V kapitole Lidé ve vědě </w:t>
      </w:r>
      <w:r w:rsidRPr="00FE3C1A">
        <w:rPr>
          <w:rFonts w:ascii="Arial" w:hAnsi="Arial" w:cs="Arial"/>
          <w:sz w:val="22"/>
          <w:szCs w:val="22"/>
        </w:rPr>
        <w:lastRenderedPageBreak/>
        <w:t xml:space="preserve">bude věnována zvláštní pozornost výzkumným pracovníkům, mladým vědcům, jejich mobilitám a aspektům genderu. Kapitola Výzkumné organizace, zařízení a infrastruktura představí institucionální a logistické prostředí nezbytné pro provádění špičkového </w:t>
      </w:r>
      <w:proofErr w:type="spellStart"/>
      <w:r w:rsidRPr="00FE3C1A">
        <w:rPr>
          <w:rFonts w:ascii="Arial" w:hAnsi="Arial" w:cs="Arial"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sz w:val="22"/>
          <w:szCs w:val="22"/>
        </w:rPr>
        <w:t xml:space="preserve">. Podkapitola Velké výzkumné infrastruktury ponese toto plné, referenční označení. Výkonnost a efektivita bude sledována prizmatem </w:t>
      </w:r>
      <w:r w:rsidRPr="00FE3C1A">
        <w:rPr>
          <w:rFonts w:ascii="Arial" w:hAnsi="Arial" w:cs="Arial"/>
          <w:bCs/>
          <w:sz w:val="22"/>
          <w:szCs w:val="22"/>
        </w:rPr>
        <w:t>dosažených výsledků, inovací, smluvního výzkumu a transferu technologií a</w:t>
      </w:r>
      <w:r>
        <w:rPr>
          <w:rFonts w:ascii="Arial" w:hAnsi="Arial" w:cs="Arial"/>
          <w:bCs/>
          <w:sz w:val="22"/>
          <w:szCs w:val="22"/>
        </w:rPr>
        <w:t> </w:t>
      </w:r>
      <w:r w:rsidRPr="00FE3C1A">
        <w:rPr>
          <w:rFonts w:ascii="Arial" w:hAnsi="Arial" w:cs="Arial"/>
          <w:bCs/>
          <w:sz w:val="22"/>
          <w:szCs w:val="22"/>
        </w:rPr>
        <w:t>znalostí. Rozbor účasti ČR v rámcových programech Evropské unie, mezinárodních organizacích, konsorciích ERIC a mobilit pak bude proveden v závěrečné kapitole Mezinárodní spolupráce. Přílohová část doplní data, která lze pro jejich povahu či rozsah, a při zachování provázanosti, vyčlenit z hlavního textu. Bude obsahovat mimo jiné monitoring kvantitativních indikátorů plnění cílů Národní politiky Výzkumu, vývoje a</w:t>
      </w:r>
      <w:r>
        <w:rPr>
          <w:rFonts w:ascii="Arial" w:hAnsi="Arial" w:cs="Arial"/>
          <w:bCs/>
          <w:sz w:val="22"/>
          <w:szCs w:val="22"/>
        </w:rPr>
        <w:t> </w:t>
      </w:r>
      <w:r w:rsidRPr="00FE3C1A">
        <w:rPr>
          <w:rFonts w:ascii="Arial" w:hAnsi="Arial" w:cs="Arial"/>
          <w:bCs/>
          <w:sz w:val="22"/>
          <w:szCs w:val="22"/>
        </w:rPr>
        <w:t xml:space="preserve">inovací České republiky 2021+, podrobný seznam použitých datových zdrojů, tabulkový přehled programů podpory či přehled resortních koncepcí </w:t>
      </w:r>
      <w:proofErr w:type="spellStart"/>
      <w:r w:rsidRPr="00FE3C1A">
        <w:rPr>
          <w:rFonts w:ascii="Arial" w:hAnsi="Arial" w:cs="Arial"/>
          <w:bCs/>
          <w:sz w:val="22"/>
          <w:szCs w:val="22"/>
        </w:rPr>
        <w:t>VaVaI</w:t>
      </w:r>
      <w:proofErr w:type="spellEnd"/>
      <w:r w:rsidRPr="00FE3C1A">
        <w:rPr>
          <w:rFonts w:ascii="Arial" w:hAnsi="Arial" w:cs="Arial"/>
          <w:bCs/>
          <w:sz w:val="22"/>
          <w:szCs w:val="22"/>
        </w:rPr>
        <w:t>.</w:t>
      </w:r>
    </w:p>
    <w:p w14:paraId="080279AF" w14:textId="77777777" w:rsidR="00ED4ADD" w:rsidRPr="00D83BA6" w:rsidRDefault="00ED4ADD" w:rsidP="00ED4ADD">
      <w:pPr>
        <w:pStyle w:val="Nadpisbezstranky"/>
        <w:rPr>
          <w:bCs w:val="0"/>
          <w:smallCaps w:val="0"/>
          <w:color w:val="0070C0"/>
          <w:sz w:val="24"/>
          <w:szCs w:val="24"/>
        </w:rPr>
      </w:pPr>
      <w:r>
        <w:rPr>
          <w:bCs w:val="0"/>
          <w:smallCaps w:val="0"/>
          <w:color w:val="0070C0"/>
          <w:sz w:val="24"/>
          <w:szCs w:val="24"/>
        </w:rPr>
        <w:t>Návrh</w:t>
      </w:r>
      <w:r w:rsidRPr="00D83BA6">
        <w:rPr>
          <w:bCs w:val="0"/>
          <w:smallCaps w:val="0"/>
          <w:color w:val="0070C0"/>
          <w:sz w:val="24"/>
          <w:szCs w:val="24"/>
        </w:rPr>
        <w:t xml:space="preserve"> obsah</w:t>
      </w:r>
      <w:r>
        <w:rPr>
          <w:bCs w:val="0"/>
          <w:smallCaps w:val="0"/>
          <w:color w:val="0070C0"/>
          <w:sz w:val="24"/>
          <w:szCs w:val="24"/>
        </w:rPr>
        <w:t>u</w:t>
      </w:r>
      <w:r w:rsidRPr="00D83BA6">
        <w:rPr>
          <w:bCs w:val="0"/>
          <w:smallCaps w:val="0"/>
          <w:color w:val="0070C0"/>
          <w:sz w:val="24"/>
          <w:szCs w:val="24"/>
        </w:rPr>
        <w:t xml:space="preserve"> dokumentu:</w:t>
      </w:r>
    </w:p>
    <w:p w14:paraId="6202E4D2" w14:textId="77777777" w:rsidR="00ED4ADD" w:rsidRPr="00490927" w:rsidRDefault="00ED4ADD" w:rsidP="00ED4ADD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 xml:space="preserve">indikátory stavu </w:t>
      </w:r>
      <w:proofErr w:type="spellStart"/>
      <w:r w:rsidRPr="00490927">
        <w:rPr>
          <w:rFonts w:ascii="Arial" w:hAnsi="Arial" w:cs="Arial"/>
          <w:sz w:val="22"/>
          <w:szCs w:val="22"/>
        </w:rPr>
        <w:t>VaVaI</w:t>
      </w:r>
      <w:proofErr w:type="spellEnd"/>
      <w:r w:rsidRPr="00490927">
        <w:rPr>
          <w:rFonts w:ascii="Arial" w:hAnsi="Arial" w:cs="Arial"/>
          <w:sz w:val="22"/>
          <w:szCs w:val="22"/>
        </w:rPr>
        <w:t xml:space="preserve"> v ČR a jejich srovnání se zahraničím</w:t>
      </w:r>
    </w:p>
    <w:p w14:paraId="2411399D" w14:textId="77777777" w:rsidR="00ED4ADD" w:rsidRPr="00490927" w:rsidRDefault="00ED4ADD" w:rsidP="00ED4ADD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indikátory stanovené ve strategickém dokumentu Národní politika výzkumu, vývoje a inovací České republiky 2021+</w:t>
      </w:r>
    </w:p>
    <w:p w14:paraId="43DBF009" w14:textId="77777777" w:rsidR="00ED4ADD" w:rsidRPr="00490927" w:rsidRDefault="00ED4ADD" w:rsidP="00ED4ADD">
      <w:pPr>
        <w:pStyle w:val="Odstavecseseznamem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hodnocení těchto oblastí a témat:</w:t>
      </w:r>
    </w:p>
    <w:p w14:paraId="6794655B" w14:textId="0D8FB3C0" w:rsidR="00ED4ADD" w:rsidRPr="00490927" w:rsidRDefault="00ED4ADD" w:rsidP="00ED4ADD">
      <w:pPr>
        <w:spacing w:before="240" w:after="120" w:line="360" w:lineRule="auto"/>
        <w:ind w:left="994" w:firstLine="565"/>
        <w:jc w:val="both"/>
        <w:rPr>
          <w:rFonts w:ascii="Arial" w:hAnsi="Arial" w:cs="Arial"/>
          <w:b/>
          <w:bCs/>
          <w:sz w:val="22"/>
          <w:szCs w:val="22"/>
        </w:rPr>
      </w:pPr>
      <w:r w:rsidRPr="00426979">
        <w:rPr>
          <w:rFonts w:cs="Arial"/>
          <w:b/>
          <w:bCs/>
          <w:noProof/>
          <w:color w:val="1F2046"/>
        </w:rPr>
        <w:drawing>
          <wp:anchor distT="0" distB="0" distL="114300" distR="114300" simplePos="0" relativeHeight="251562496" behindDoc="0" locked="0" layoutInCell="1" allowOverlap="1" wp14:anchorId="58065CAD" wp14:editId="4803803F">
            <wp:simplePos x="0" y="0"/>
            <wp:positionH relativeFrom="margin">
              <wp:posOffset>81280</wp:posOffset>
            </wp:positionH>
            <wp:positionV relativeFrom="margin">
              <wp:posOffset>4500880</wp:posOffset>
            </wp:positionV>
            <wp:extent cx="619125" cy="619125"/>
            <wp:effectExtent l="0" t="0" r="0" b="0"/>
            <wp:wrapNone/>
            <wp:docPr id="776797270" name="Grafický objekt 10" descr="Síťový diagram se souvislou výpl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797270" name="Grafický objekt 776797270" descr="Síťový diagram se souvislou výplní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0927">
        <w:rPr>
          <w:rFonts w:ascii="Arial" w:hAnsi="Arial" w:cs="Arial"/>
          <w:b/>
          <w:bCs/>
          <w:sz w:val="22"/>
          <w:szCs w:val="22"/>
        </w:rPr>
        <w:t xml:space="preserve">SYSTÉM </w:t>
      </w:r>
      <w:proofErr w:type="spellStart"/>
      <w:r w:rsidRPr="00490927">
        <w:rPr>
          <w:rFonts w:ascii="Arial" w:hAnsi="Arial" w:cs="Arial"/>
          <w:b/>
          <w:bCs/>
          <w:sz w:val="22"/>
          <w:szCs w:val="22"/>
        </w:rPr>
        <w:t>VaVaI</w:t>
      </w:r>
      <w:proofErr w:type="spellEnd"/>
      <w:r w:rsidRPr="00490927">
        <w:rPr>
          <w:rFonts w:ascii="Arial" w:hAnsi="Arial" w:cs="Arial"/>
          <w:b/>
          <w:bCs/>
          <w:sz w:val="22"/>
          <w:szCs w:val="22"/>
        </w:rPr>
        <w:t xml:space="preserve"> V ČR</w:t>
      </w:r>
    </w:p>
    <w:p w14:paraId="430136F7" w14:textId="22B81CB4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Strategické dokumenty a legislativní rámec</w:t>
      </w:r>
    </w:p>
    <w:p w14:paraId="20A67295" w14:textId="4621309E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 xml:space="preserve">Klíčoví aktéři, poskytovatelé podpory a programy </w:t>
      </w:r>
      <w:proofErr w:type="spellStart"/>
      <w:r w:rsidRPr="00490927">
        <w:rPr>
          <w:rFonts w:ascii="Arial" w:hAnsi="Arial" w:cs="Arial"/>
          <w:sz w:val="22"/>
          <w:szCs w:val="22"/>
        </w:rPr>
        <w:t>VaVaI</w:t>
      </w:r>
      <w:proofErr w:type="spellEnd"/>
    </w:p>
    <w:p w14:paraId="2C86713B" w14:textId="6528FC4C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 xml:space="preserve">Proces přípravy státního rozpočtu na </w:t>
      </w:r>
      <w:proofErr w:type="spellStart"/>
      <w:r w:rsidRPr="00490927">
        <w:rPr>
          <w:rFonts w:ascii="Arial" w:hAnsi="Arial" w:cs="Arial"/>
          <w:sz w:val="22"/>
          <w:szCs w:val="22"/>
        </w:rPr>
        <w:t>VaVaI</w:t>
      </w:r>
      <w:proofErr w:type="spellEnd"/>
    </w:p>
    <w:p w14:paraId="3CB2B9A1" w14:textId="7046F77E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/>
        <w:contextualSpacing w:val="0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Projekty sdílených činností</w:t>
      </w:r>
    </w:p>
    <w:p w14:paraId="2F881D1F" w14:textId="7BF77CBE" w:rsidR="00ED4ADD" w:rsidRPr="00490927" w:rsidRDefault="00ED4ADD" w:rsidP="00ED4ADD">
      <w:pPr>
        <w:spacing w:before="240" w:after="120" w:line="360" w:lineRule="auto"/>
        <w:ind w:firstLine="1559"/>
        <w:jc w:val="both"/>
        <w:rPr>
          <w:rFonts w:ascii="Arial" w:hAnsi="Arial" w:cs="Arial"/>
          <w:b/>
          <w:bCs/>
          <w:sz w:val="22"/>
          <w:szCs w:val="22"/>
        </w:rPr>
      </w:pPr>
      <w:r w:rsidRPr="00426979">
        <w:rPr>
          <w:rFonts w:cs="Arial"/>
          <w:b/>
          <w:bCs/>
          <w:noProof/>
          <w:color w:val="1F2046"/>
        </w:rPr>
        <w:drawing>
          <wp:anchor distT="0" distB="0" distL="114300" distR="114300" simplePos="0" relativeHeight="251558400" behindDoc="0" locked="0" layoutInCell="1" allowOverlap="1" wp14:anchorId="0FD01792" wp14:editId="307A5982">
            <wp:simplePos x="0" y="0"/>
            <wp:positionH relativeFrom="margin">
              <wp:posOffset>0</wp:posOffset>
            </wp:positionH>
            <wp:positionV relativeFrom="margin">
              <wp:posOffset>5937885</wp:posOffset>
            </wp:positionV>
            <wp:extent cx="647700" cy="647700"/>
            <wp:effectExtent l="0" t="0" r="0" b="0"/>
            <wp:wrapNone/>
            <wp:docPr id="640683136" name="Grafický objekt 12" descr="Euro se souvislou výpl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683136" name="Grafický objekt 640683136" descr="Euro se souvislou výplní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0927">
        <w:rPr>
          <w:rFonts w:ascii="Arial" w:hAnsi="Arial" w:cs="Arial"/>
          <w:b/>
          <w:bCs/>
          <w:sz w:val="22"/>
          <w:szCs w:val="22"/>
        </w:rPr>
        <w:t>FINANCE</w:t>
      </w:r>
    </w:p>
    <w:p w14:paraId="13D1FA9E" w14:textId="0BDB813B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Makroekonomické ukazatele</w:t>
      </w:r>
    </w:p>
    <w:p w14:paraId="79883665" w14:textId="3B3D789C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Finanční toky ve výzkumu a vývoji (</w:t>
      </w:r>
      <w:proofErr w:type="spellStart"/>
      <w:r w:rsidRPr="00490927">
        <w:rPr>
          <w:rFonts w:ascii="Arial" w:hAnsi="Arial" w:cs="Arial"/>
          <w:sz w:val="22"/>
          <w:szCs w:val="22"/>
        </w:rPr>
        <w:t>VaV</w:t>
      </w:r>
      <w:proofErr w:type="spellEnd"/>
      <w:r w:rsidRPr="00490927">
        <w:rPr>
          <w:rFonts w:ascii="Arial" w:hAnsi="Arial" w:cs="Arial"/>
          <w:sz w:val="22"/>
          <w:szCs w:val="22"/>
        </w:rPr>
        <w:t>)</w:t>
      </w:r>
    </w:p>
    <w:p w14:paraId="799BA6F7" w14:textId="7020DF04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 xml:space="preserve">Přímá veřejná podpora </w:t>
      </w:r>
      <w:proofErr w:type="spellStart"/>
      <w:r w:rsidRPr="00490927">
        <w:rPr>
          <w:rFonts w:ascii="Arial" w:hAnsi="Arial" w:cs="Arial"/>
          <w:sz w:val="22"/>
          <w:szCs w:val="22"/>
        </w:rPr>
        <w:t>VaV</w:t>
      </w:r>
      <w:proofErr w:type="spellEnd"/>
      <w:r w:rsidRPr="00490927">
        <w:rPr>
          <w:rFonts w:ascii="Arial" w:hAnsi="Arial" w:cs="Arial"/>
          <w:sz w:val="22"/>
          <w:szCs w:val="22"/>
        </w:rPr>
        <w:t xml:space="preserve"> – zaměřeno na státní rozpočet a fondy Evropské unie </w:t>
      </w:r>
    </w:p>
    <w:p w14:paraId="63614FAF" w14:textId="4357577B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/>
        <w:contextualSpacing w:val="0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 xml:space="preserve">Nepřímá veřejná podpora </w:t>
      </w:r>
      <w:proofErr w:type="spellStart"/>
      <w:r w:rsidRPr="00490927">
        <w:rPr>
          <w:rFonts w:ascii="Arial" w:hAnsi="Arial" w:cs="Arial"/>
          <w:sz w:val="22"/>
          <w:szCs w:val="22"/>
        </w:rPr>
        <w:t>VaV</w:t>
      </w:r>
      <w:proofErr w:type="spellEnd"/>
    </w:p>
    <w:p w14:paraId="273AD374" w14:textId="5CEF93A1" w:rsidR="00ED4ADD" w:rsidRPr="00490927" w:rsidRDefault="00ED4ADD" w:rsidP="00ED4ADD">
      <w:pPr>
        <w:spacing w:before="240" w:after="120" w:line="360" w:lineRule="auto"/>
        <w:ind w:firstLine="1559"/>
        <w:jc w:val="both"/>
        <w:rPr>
          <w:rFonts w:ascii="Arial" w:hAnsi="Arial" w:cs="Arial"/>
          <w:b/>
          <w:bCs/>
          <w:sz w:val="22"/>
          <w:szCs w:val="22"/>
        </w:rPr>
      </w:pPr>
      <w:r w:rsidRPr="00426979">
        <w:rPr>
          <w:rFonts w:cs="Arial"/>
          <w:b/>
          <w:bCs/>
          <w:noProof/>
          <w:color w:val="1F2046"/>
        </w:rPr>
        <w:drawing>
          <wp:anchor distT="0" distB="0" distL="114300" distR="114300" simplePos="0" relativeHeight="251564544" behindDoc="0" locked="0" layoutInCell="1" allowOverlap="1" wp14:anchorId="7DFD1C48" wp14:editId="6A2DA6B0">
            <wp:simplePos x="0" y="0"/>
            <wp:positionH relativeFrom="margin">
              <wp:posOffset>-4445</wp:posOffset>
            </wp:positionH>
            <wp:positionV relativeFrom="margin">
              <wp:posOffset>7625080</wp:posOffset>
            </wp:positionV>
            <wp:extent cx="676275" cy="676275"/>
            <wp:effectExtent l="0" t="0" r="0" b="9525"/>
            <wp:wrapNone/>
            <wp:docPr id="1925429331" name="Grafický objekt 7" descr="Vědecký žena se souvislou výpl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429331" name="Grafický objekt 1925429331" descr="Vědecký žena se souvislou výplní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0927">
        <w:rPr>
          <w:rFonts w:ascii="Arial" w:hAnsi="Arial" w:cs="Arial"/>
          <w:b/>
          <w:bCs/>
          <w:sz w:val="22"/>
          <w:szCs w:val="22"/>
        </w:rPr>
        <w:t xml:space="preserve">LIDÉ VE </w:t>
      </w:r>
      <w:proofErr w:type="spellStart"/>
      <w:r w:rsidRPr="00490927">
        <w:rPr>
          <w:rFonts w:ascii="Arial" w:hAnsi="Arial" w:cs="Arial"/>
          <w:b/>
          <w:bCs/>
          <w:sz w:val="22"/>
          <w:szCs w:val="22"/>
        </w:rPr>
        <w:t>VaVaI</w:t>
      </w:r>
      <w:proofErr w:type="spellEnd"/>
    </w:p>
    <w:p w14:paraId="16CECBAE" w14:textId="094EBE44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Výzkumní pracovníci</w:t>
      </w:r>
    </w:p>
    <w:p w14:paraId="16689114" w14:textId="54628B64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Genderové hledisko</w:t>
      </w:r>
    </w:p>
    <w:p w14:paraId="44926EF4" w14:textId="77777777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Mladí vědci</w:t>
      </w:r>
    </w:p>
    <w:p w14:paraId="40B75371" w14:textId="77777777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/>
        <w:contextualSpacing w:val="0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Vědci v zahraničí a zahraniční absolventi v ČR</w:t>
      </w:r>
    </w:p>
    <w:p w14:paraId="5408F6DB" w14:textId="2DF42B34" w:rsidR="00ED4ADD" w:rsidRPr="00490927" w:rsidRDefault="00ED4ADD" w:rsidP="00ED4ADD">
      <w:pPr>
        <w:spacing w:before="240" w:after="120" w:line="360" w:lineRule="auto"/>
        <w:ind w:left="1559"/>
        <w:jc w:val="both"/>
        <w:rPr>
          <w:rFonts w:ascii="Arial" w:hAnsi="Arial" w:cs="Arial"/>
          <w:b/>
          <w:bCs/>
          <w:sz w:val="22"/>
          <w:szCs w:val="22"/>
        </w:rPr>
      </w:pPr>
      <w:r w:rsidRPr="00426979">
        <w:rPr>
          <w:rFonts w:cs="Arial"/>
          <w:b/>
          <w:bCs/>
          <w:noProof/>
          <w:color w:val="1F2046"/>
        </w:rPr>
        <w:lastRenderedPageBreak/>
        <w:drawing>
          <wp:anchor distT="0" distB="0" distL="114300" distR="114300" simplePos="0" relativeHeight="251658752" behindDoc="0" locked="0" layoutInCell="1" allowOverlap="1" wp14:anchorId="17341627" wp14:editId="01278CA3">
            <wp:simplePos x="0" y="0"/>
            <wp:positionH relativeFrom="margin">
              <wp:posOffset>0</wp:posOffset>
            </wp:positionH>
            <wp:positionV relativeFrom="margin">
              <wp:posOffset>635</wp:posOffset>
            </wp:positionV>
            <wp:extent cx="619125" cy="619125"/>
            <wp:effectExtent l="0" t="0" r="0" b="0"/>
            <wp:wrapNone/>
            <wp:docPr id="62118952" name="Grafický objekt 11" descr="Kód QR se souvislou výpl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8952" name="Grafický objekt 62118952" descr="Kód QR se souvislou výplní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0927">
        <w:rPr>
          <w:rFonts w:ascii="Arial" w:hAnsi="Arial" w:cs="Arial"/>
          <w:b/>
          <w:bCs/>
          <w:sz w:val="22"/>
          <w:szCs w:val="22"/>
        </w:rPr>
        <w:t>VÝZKUMNÉ ORGANIZACE A VELKÉ VÝZKUMNÉ INFRASTRUKTURY</w:t>
      </w:r>
    </w:p>
    <w:p w14:paraId="76F32378" w14:textId="1E61883E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Výzkumné organizace v ČR</w:t>
      </w:r>
    </w:p>
    <w:p w14:paraId="68A4B2B8" w14:textId="642A581C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/>
        <w:contextualSpacing w:val="0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Velké výzkumné infrastruktury</w:t>
      </w:r>
    </w:p>
    <w:p w14:paraId="11692E10" w14:textId="26BF5E04" w:rsidR="00ED4ADD" w:rsidRPr="00490927" w:rsidRDefault="00ED4ADD" w:rsidP="00ED4ADD">
      <w:pPr>
        <w:spacing w:before="240" w:after="120" w:line="360" w:lineRule="auto"/>
        <w:ind w:firstLine="1559"/>
        <w:jc w:val="both"/>
        <w:rPr>
          <w:rFonts w:ascii="Arial" w:hAnsi="Arial" w:cs="Arial"/>
          <w:b/>
          <w:bCs/>
          <w:sz w:val="22"/>
          <w:szCs w:val="22"/>
        </w:rPr>
      </w:pPr>
      <w:r w:rsidRPr="00426979">
        <w:rPr>
          <w:rFonts w:cs="Arial"/>
          <w:b/>
          <w:bCs/>
          <w:noProof/>
          <w:color w:val="1F2046"/>
        </w:rPr>
        <w:drawing>
          <wp:anchor distT="0" distB="0" distL="114300" distR="114300" simplePos="0" relativeHeight="251660800" behindDoc="0" locked="0" layoutInCell="1" allowOverlap="1" wp14:anchorId="1C68393B" wp14:editId="06764408">
            <wp:simplePos x="0" y="0"/>
            <wp:positionH relativeFrom="margin">
              <wp:posOffset>0</wp:posOffset>
            </wp:positionH>
            <wp:positionV relativeFrom="margin">
              <wp:posOffset>965835</wp:posOffset>
            </wp:positionV>
            <wp:extent cx="666750" cy="666750"/>
            <wp:effectExtent l="0" t="0" r="0" b="0"/>
            <wp:wrapNone/>
            <wp:docPr id="570828666" name="Grafický objekt 9" descr="Pruhový graf se vzestupným trendem se souvislou výpl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828666" name="Grafický objekt 570828666" descr="Pruhový graf se vzestupným trendem se souvislou výplní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0927">
        <w:rPr>
          <w:rFonts w:ascii="Arial" w:hAnsi="Arial" w:cs="Arial"/>
          <w:b/>
          <w:bCs/>
          <w:sz w:val="22"/>
          <w:szCs w:val="22"/>
        </w:rPr>
        <w:t xml:space="preserve">VÝKONNOST A EFEKTIVITA </w:t>
      </w:r>
      <w:proofErr w:type="spellStart"/>
      <w:r w:rsidRPr="00490927">
        <w:rPr>
          <w:rFonts w:ascii="Arial" w:hAnsi="Arial" w:cs="Arial"/>
          <w:b/>
          <w:bCs/>
          <w:sz w:val="22"/>
          <w:szCs w:val="22"/>
        </w:rPr>
        <w:t>VaVaI</w:t>
      </w:r>
      <w:proofErr w:type="spellEnd"/>
    </w:p>
    <w:p w14:paraId="0B18E0E6" w14:textId="4BD98127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 xml:space="preserve">Výsledky </w:t>
      </w:r>
      <w:proofErr w:type="spellStart"/>
      <w:r w:rsidRPr="00490927">
        <w:rPr>
          <w:rFonts w:ascii="Arial" w:hAnsi="Arial" w:cs="Arial"/>
          <w:sz w:val="22"/>
          <w:szCs w:val="22"/>
        </w:rPr>
        <w:t>VaV</w:t>
      </w:r>
      <w:proofErr w:type="spellEnd"/>
    </w:p>
    <w:p w14:paraId="54789D2A" w14:textId="2CFA3D69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Inovační výkonnost</w:t>
      </w:r>
    </w:p>
    <w:p w14:paraId="32322448" w14:textId="5CAE9366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Spolupráce: Kolaborativní a smluvní výzkum</w:t>
      </w:r>
    </w:p>
    <w:p w14:paraId="48A6B7B2" w14:textId="5D944A5B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/>
        <w:contextualSpacing w:val="0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Transfer technologií a znalostí</w:t>
      </w:r>
    </w:p>
    <w:p w14:paraId="3EE203D4" w14:textId="1FAB0D30" w:rsidR="00ED4ADD" w:rsidRPr="00490927" w:rsidRDefault="00ED4ADD" w:rsidP="00ED4ADD">
      <w:pPr>
        <w:spacing w:before="240" w:after="120" w:line="360" w:lineRule="auto"/>
        <w:ind w:firstLine="1559"/>
        <w:jc w:val="both"/>
        <w:rPr>
          <w:rFonts w:ascii="Arial" w:hAnsi="Arial" w:cs="Arial"/>
          <w:b/>
          <w:bCs/>
          <w:sz w:val="22"/>
          <w:szCs w:val="22"/>
        </w:rPr>
      </w:pPr>
      <w:r w:rsidRPr="00426979">
        <w:rPr>
          <w:rFonts w:cs="Arial"/>
          <w:b/>
          <w:bCs/>
          <w:noProof/>
          <w:color w:val="1F2046"/>
        </w:rPr>
        <w:drawing>
          <wp:anchor distT="0" distB="0" distL="114300" distR="114300" simplePos="0" relativeHeight="251662848" behindDoc="0" locked="0" layoutInCell="1" allowOverlap="1" wp14:anchorId="6507B965" wp14:editId="0BEB9E35">
            <wp:simplePos x="0" y="0"/>
            <wp:positionH relativeFrom="margin">
              <wp:posOffset>0</wp:posOffset>
            </wp:positionH>
            <wp:positionV relativeFrom="margin">
              <wp:posOffset>2409190</wp:posOffset>
            </wp:positionV>
            <wp:extent cx="685800" cy="685800"/>
            <wp:effectExtent l="0" t="0" r="0" b="0"/>
            <wp:wrapNone/>
            <wp:docPr id="993145257" name="Grafický objekt 6" descr="Glóbus: Afrika a Evropa se souvislou výpl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145257" name="Grafický objekt 993145257" descr="Glóbus: Afrika a Evropa se souvislou výplní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0927">
        <w:rPr>
          <w:rFonts w:ascii="Arial" w:hAnsi="Arial" w:cs="Arial"/>
          <w:b/>
          <w:bCs/>
          <w:sz w:val="22"/>
          <w:szCs w:val="22"/>
        </w:rPr>
        <w:t>MEZINÁRODNÍ SPOLUPRÁCE</w:t>
      </w:r>
    </w:p>
    <w:p w14:paraId="7FB99F86" w14:textId="77777777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Účast v rámcových programech</w:t>
      </w:r>
    </w:p>
    <w:p w14:paraId="0F29CAC6" w14:textId="3BA6E4C7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 xml:space="preserve">Mezinárodní mobility </w:t>
      </w:r>
    </w:p>
    <w:p w14:paraId="5154C168" w14:textId="1FEB4461" w:rsidR="00ED4ADD" w:rsidRPr="00490927" w:rsidRDefault="00ED4ADD" w:rsidP="00ED4ADD">
      <w:pPr>
        <w:pStyle w:val="Odstavecseseznamem"/>
        <w:numPr>
          <w:ilvl w:val="3"/>
          <w:numId w:val="26"/>
        </w:numPr>
        <w:spacing w:after="60" w:line="360" w:lineRule="auto"/>
        <w:ind w:left="2268" w:hanging="357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Účast v mezinárodních organizacích a konsorciích ERIC</w:t>
      </w:r>
    </w:p>
    <w:p w14:paraId="10F0FC0F" w14:textId="32AB6C4B" w:rsidR="00ED4ADD" w:rsidRPr="00E44E2F" w:rsidRDefault="00ED4ADD" w:rsidP="00E44E2F">
      <w:pPr>
        <w:pStyle w:val="Odstavecseseznamem"/>
        <w:numPr>
          <w:ilvl w:val="3"/>
          <w:numId w:val="26"/>
        </w:numPr>
        <w:spacing w:after="60" w:line="360" w:lineRule="auto"/>
        <w:ind w:left="2268"/>
        <w:contextualSpacing w:val="0"/>
        <w:jc w:val="both"/>
        <w:rPr>
          <w:rFonts w:ascii="Arial" w:hAnsi="Arial" w:cs="Arial"/>
          <w:sz w:val="22"/>
          <w:szCs w:val="22"/>
        </w:rPr>
      </w:pPr>
      <w:r w:rsidRPr="00490927">
        <w:rPr>
          <w:rFonts w:ascii="Arial" w:hAnsi="Arial" w:cs="Arial"/>
          <w:sz w:val="22"/>
          <w:szCs w:val="22"/>
        </w:rPr>
        <w:t>Vybrané programy pro rozvoj mezinárodní spolupráce</w:t>
      </w:r>
    </w:p>
    <w:p w14:paraId="6AACCCFF" w14:textId="77777777" w:rsidR="00E44E2F" w:rsidRPr="00E44E2F" w:rsidRDefault="00E44E2F" w:rsidP="00E44E2F">
      <w:pPr>
        <w:pStyle w:val="Nadpisbezstranky"/>
        <w:rPr>
          <w:bCs w:val="0"/>
          <w:smallCaps w:val="0"/>
          <w:color w:val="0070C0"/>
          <w:sz w:val="24"/>
          <w:szCs w:val="24"/>
        </w:rPr>
      </w:pPr>
      <w:r w:rsidRPr="00E44E2F">
        <w:rPr>
          <w:bCs w:val="0"/>
          <w:smallCaps w:val="0"/>
          <w:color w:val="0070C0"/>
          <w:sz w:val="24"/>
          <w:szCs w:val="24"/>
        </w:rPr>
        <w:t>Datová základna</w:t>
      </w:r>
    </w:p>
    <w:p w14:paraId="0241449B" w14:textId="77777777" w:rsidR="00E44E2F" w:rsidRPr="00E44E2F" w:rsidRDefault="00E44E2F" w:rsidP="00E44E2F">
      <w:pPr>
        <w:spacing w:after="120"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E44E2F">
        <w:rPr>
          <w:rFonts w:ascii="Arial" w:hAnsi="Arial" w:cs="Arial"/>
          <w:bCs/>
          <w:sz w:val="22"/>
          <w:szCs w:val="22"/>
        </w:rPr>
        <w:t xml:space="preserve">Při přípravě Analýzy </w:t>
      </w:r>
      <w:proofErr w:type="spellStart"/>
      <w:r w:rsidRPr="00E44E2F">
        <w:rPr>
          <w:rFonts w:ascii="Arial" w:hAnsi="Arial" w:cs="Arial"/>
          <w:bCs/>
          <w:sz w:val="22"/>
          <w:szCs w:val="22"/>
        </w:rPr>
        <w:t>VaVaI</w:t>
      </w:r>
      <w:proofErr w:type="spellEnd"/>
      <w:r w:rsidRPr="00E44E2F">
        <w:rPr>
          <w:rFonts w:ascii="Arial" w:hAnsi="Arial" w:cs="Arial"/>
          <w:bCs/>
          <w:sz w:val="22"/>
          <w:szCs w:val="22"/>
        </w:rPr>
        <w:t xml:space="preserve"> budou v maximální možné míře využita unikátní data z Informačního systému </w:t>
      </w:r>
      <w:proofErr w:type="spellStart"/>
      <w:r w:rsidRPr="00E44E2F">
        <w:rPr>
          <w:rFonts w:ascii="Arial" w:hAnsi="Arial" w:cs="Arial"/>
          <w:bCs/>
          <w:sz w:val="22"/>
          <w:szCs w:val="22"/>
        </w:rPr>
        <w:t>VaVaI</w:t>
      </w:r>
      <w:proofErr w:type="spellEnd"/>
      <w:r w:rsidRPr="00E44E2F">
        <w:rPr>
          <w:rFonts w:ascii="Arial" w:hAnsi="Arial" w:cs="Arial"/>
          <w:bCs/>
          <w:sz w:val="22"/>
          <w:szCs w:val="22"/>
        </w:rPr>
        <w:t xml:space="preserve">, a to ze všech modulů (CEA, CEP, RIV a VES). Dále budou využity statistiky výzkumu, vývoje a inovací Českého statistického úřadu (dále jen „ČSÚ“), </w:t>
      </w:r>
      <w:proofErr w:type="spellStart"/>
      <w:r w:rsidRPr="00E44E2F">
        <w:rPr>
          <w:rFonts w:ascii="Arial" w:hAnsi="Arial" w:cs="Arial"/>
          <w:bCs/>
          <w:sz w:val="22"/>
          <w:szCs w:val="22"/>
        </w:rPr>
        <w:t>Eurostatu</w:t>
      </w:r>
      <w:proofErr w:type="spellEnd"/>
      <w:r w:rsidRPr="00E44E2F">
        <w:rPr>
          <w:rFonts w:ascii="Arial" w:hAnsi="Arial" w:cs="Arial"/>
          <w:bCs/>
          <w:sz w:val="22"/>
          <w:szCs w:val="22"/>
        </w:rPr>
        <w:t xml:space="preserve">, OECD, </w:t>
      </w:r>
      <w:proofErr w:type="spellStart"/>
      <w:r w:rsidRPr="00E44E2F">
        <w:rPr>
          <w:rFonts w:ascii="Arial" w:hAnsi="Arial" w:cs="Arial"/>
          <w:bCs/>
          <w:sz w:val="22"/>
          <w:szCs w:val="22"/>
        </w:rPr>
        <w:t>eCORDA</w:t>
      </w:r>
      <w:proofErr w:type="spellEnd"/>
      <w:r w:rsidRPr="00E44E2F">
        <w:rPr>
          <w:rFonts w:ascii="Arial" w:hAnsi="Arial" w:cs="Arial"/>
          <w:bCs/>
          <w:sz w:val="22"/>
          <w:szCs w:val="22"/>
        </w:rPr>
        <w:t xml:space="preserve">, Horizon Dashboard, data </w:t>
      </w:r>
      <w:proofErr w:type="spellStart"/>
      <w:r w:rsidRPr="00E44E2F">
        <w:rPr>
          <w:rFonts w:ascii="Arial" w:hAnsi="Arial" w:cs="Arial"/>
          <w:bCs/>
          <w:sz w:val="22"/>
          <w:szCs w:val="22"/>
        </w:rPr>
        <w:t>InCites</w:t>
      </w:r>
      <w:proofErr w:type="spellEnd"/>
      <w:r w:rsidRPr="00E44E2F">
        <w:rPr>
          <w:rFonts w:ascii="Arial" w:hAnsi="Arial" w:cs="Arial"/>
          <w:bCs/>
          <w:sz w:val="22"/>
          <w:szCs w:val="22"/>
        </w:rPr>
        <w:t xml:space="preserve"> Benchmarking &amp; </w:t>
      </w:r>
      <w:proofErr w:type="spellStart"/>
      <w:r w:rsidRPr="00E44E2F">
        <w:rPr>
          <w:rFonts w:ascii="Arial" w:hAnsi="Arial" w:cs="Arial"/>
          <w:bCs/>
          <w:sz w:val="22"/>
          <w:szCs w:val="22"/>
        </w:rPr>
        <w:t>Analytics</w:t>
      </w:r>
      <w:proofErr w:type="spellEnd"/>
      <w:r w:rsidRPr="00E44E2F">
        <w:rPr>
          <w:rFonts w:ascii="Arial" w:hAnsi="Arial" w:cs="Arial"/>
          <w:bCs/>
          <w:sz w:val="22"/>
          <w:szCs w:val="22"/>
        </w:rPr>
        <w:t>, údaje od poskytovatelů a další relevantní zdroje uvedené v tabulkovém přehledu datových zdrojů:</w:t>
      </w:r>
    </w:p>
    <w:tbl>
      <w:tblPr>
        <w:tblW w:w="5000" w:type="pct"/>
        <w:jc w:val="center"/>
        <w:tblLook w:val="0400" w:firstRow="0" w:lastRow="0" w:firstColumn="0" w:lastColumn="0" w:noHBand="0" w:noVBand="1"/>
      </w:tblPr>
      <w:tblGrid>
        <w:gridCol w:w="423"/>
        <w:gridCol w:w="810"/>
        <w:gridCol w:w="877"/>
        <w:gridCol w:w="1544"/>
        <w:gridCol w:w="498"/>
        <w:gridCol w:w="5136"/>
      </w:tblGrid>
      <w:tr w:rsidR="00E44E2F" w:rsidRPr="00A67D78" w14:paraId="0979A536" w14:textId="77777777" w:rsidTr="00E44E2F">
        <w:trPr>
          <w:trHeight w:val="280"/>
          <w:tblHeader/>
          <w:jc w:val="center"/>
        </w:trPr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CC8F4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E624B1" w14:textId="77777777" w:rsidR="00E44E2F" w:rsidRPr="00A67D78" w:rsidRDefault="00E44E2F" w:rsidP="00265F77">
            <w:pPr>
              <w:jc w:val="center"/>
              <w:rPr>
                <w:rFonts w:cs="Arial"/>
                <w:b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b/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A4B14" w14:textId="77777777" w:rsidR="00E44E2F" w:rsidRPr="00A67D78" w:rsidRDefault="00E44E2F" w:rsidP="00265F77">
            <w:pPr>
              <w:jc w:val="center"/>
              <w:rPr>
                <w:rFonts w:cs="Arial"/>
                <w:b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b/>
                <w:color w:val="000000"/>
                <w:sz w:val="17"/>
                <w:szCs w:val="17"/>
              </w:rPr>
              <w:t>Data</w:t>
            </w:r>
          </w:p>
        </w:tc>
        <w:tc>
          <w:tcPr>
            <w:tcW w:w="3034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F219F" w14:textId="77777777" w:rsidR="00E44E2F" w:rsidRPr="00A67D78" w:rsidRDefault="00E44E2F" w:rsidP="00265F77">
            <w:pPr>
              <w:jc w:val="center"/>
              <w:rPr>
                <w:rFonts w:cs="Arial"/>
                <w:b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b/>
                <w:color w:val="000000"/>
                <w:sz w:val="17"/>
                <w:szCs w:val="17"/>
              </w:rPr>
              <w:t>Poznámka</w:t>
            </w:r>
          </w:p>
        </w:tc>
      </w:tr>
      <w:tr w:rsidR="00E44E2F" w:rsidRPr="00A67D78" w14:paraId="2DA92655" w14:textId="77777777" w:rsidTr="00E44E2F">
        <w:trPr>
          <w:trHeight w:val="460"/>
          <w:jc w:val="center"/>
        </w:trPr>
        <w:tc>
          <w:tcPr>
            <w:tcW w:w="22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1AC3B0EE" w14:textId="77777777" w:rsidR="00E44E2F" w:rsidRPr="00A67D78" w:rsidRDefault="00E44E2F" w:rsidP="00265F77">
            <w:pPr>
              <w:ind w:left="113" w:right="113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NÁRODNÍ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6769A9" w14:textId="77777777" w:rsidR="00E44E2F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RVVI</w:t>
            </w:r>
          </w:p>
          <w:p w14:paraId="7A4D5201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/</w:t>
            </w:r>
          </w:p>
          <w:p w14:paraId="034FF9DC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ÚV ČR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12C63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IS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VaVaI</w:t>
            </w:r>
            <w:proofErr w:type="spellEnd"/>
          </w:p>
        </w:tc>
        <w:tc>
          <w:tcPr>
            <w:tcW w:w="8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80A60A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CEA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E9077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Informace o poskytovatelích podpory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VaVaI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, o programech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VaVaI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br/>
              <w:t xml:space="preserve">a subjektech ve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VaVaI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(od roku 2010)</w:t>
            </w:r>
          </w:p>
        </w:tc>
      </w:tr>
      <w:tr w:rsidR="00E44E2F" w:rsidRPr="00A67D78" w14:paraId="03CC24D9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306385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6BA95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0DB19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1EFF4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VES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4F1B03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Informace o veřejných soutěžích ve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VaVaI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(od roku 2000)</w:t>
            </w:r>
          </w:p>
        </w:tc>
      </w:tr>
      <w:tr w:rsidR="00E44E2F" w:rsidRPr="00A67D78" w14:paraId="42BE74DE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E5BBE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269BB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9EFF61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7FAEA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CEP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1B235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Informace o projektech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VaVaI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(od roku 1994)</w:t>
            </w:r>
          </w:p>
        </w:tc>
      </w:tr>
      <w:tr w:rsidR="00E44E2F" w:rsidRPr="00A67D78" w14:paraId="73C9B720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64BC8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5F70B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35477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0C0930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CEZ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93381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 výzkumných záměrech (do roku 2009, nyní zakonzervovaný modul)</w:t>
            </w:r>
          </w:p>
        </w:tc>
      </w:tr>
      <w:tr w:rsidR="00E44E2F" w:rsidRPr="00A67D78" w14:paraId="5DD72120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3299C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FF732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B3BD7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D3788E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RIV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C4A412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Informace o výsledcích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VaVaI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uplatněných od roku 1993</w:t>
            </w:r>
          </w:p>
        </w:tc>
      </w:tr>
      <w:tr w:rsidR="00E44E2F" w:rsidRPr="00A67D78" w14:paraId="3038C7DF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EB99E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3B8F1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ČSÚ</w:t>
            </w: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9AC786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Ukazatele výzkumu a vývoje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52E94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Pravidelné roční dotazníkové šetření (VTR 5-01)</w:t>
            </w:r>
          </w:p>
        </w:tc>
      </w:tr>
      <w:tr w:rsidR="00E44E2F" w:rsidRPr="00A67D78" w14:paraId="26351FAF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588344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B08599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1F367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Nepřímá veřejná podpora výzkumu a vývoje v ČR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E3B8CB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Metadata z databáze GFŘ – MF</w:t>
            </w:r>
          </w:p>
        </w:tc>
      </w:tr>
      <w:tr w:rsidR="00E44E2F" w:rsidRPr="00A67D78" w14:paraId="5B65D240" w14:textId="77777777" w:rsidTr="00E44E2F">
        <w:trPr>
          <w:trHeight w:val="489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0D518B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E1A97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EC535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Statistické šetření o inovacích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F05E7D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Poslední zveřejněné šetření (TI20</w:t>
            </w:r>
            <w:r>
              <w:rPr>
                <w:rFonts w:cs="Arial"/>
                <w:color w:val="000000"/>
                <w:sz w:val="17"/>
                <w:szCs w:val="17"/>
              </w:rPr>
              <w:t>18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) se</w:t>
            </w:r>
            <w:r>
              <w:rPr>
                <w:rFonts w:cs="Arial"/>
                <w:color w:val="000000"/>
                <w:sz w:val="17"/>
                <w:szCs w:val="17"/>
              </w:rPr>
              <w:t xml:space="preserve"> vztahuje k období v letech 2016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–</w:t>
            </w:r>
            <w:r>
              <w:rPr>
                <w:rFonts w:cs="Arial"/>
                <w:color w:val="000000"/>
                <w:sz w:val="17"/>
                <w:szCs w:val="17"/>
              </w:rPr>
              <w:t>2018</w:t>
            </w:r>
          </w:p>
        </w:tc>
      </w:tr>
      <w:tr w:rsidR="00E44E2F" w:rsidRPr="00A67D78" w14:paraId="71FE0E0C" w14:textId="77777777" w:rsidTr="00E44E2F">
        <w:trPr>
          <w:trHeight w:val="681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FD05E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298E4C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4044E608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Přímá veřejná podpora výzkumu a vývoje v České republice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99461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Vychází z výdajů schválených v zákoně o státním rozpočtu pro dané fiskální období (předběžné údaje) a výdajů </w:t>
            </w:r>
            <w:r>
              <w:rPr>
                <w:rFonts w:cs="Arial"/>
                <w:color w:val="000000"/>
                <w:sz w:val="17"/>
                <w:szCs w:val="17"/>
              </w:rPr>
              <w:t>státního závěrečného</w:t>
            </w:r>
            <w:r w:rsidRPr="00A67D78" w:rsidDel="00057F70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účtu pro oblast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> (konečné údaje)</w:t>
            </w:r>
          </w:p>
        </w:tc>
      </w:tr>
      <w:tr w:rsidR="00E44E2F" w:rsidRPr="00A67D78" w14:paraId="388587D8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DE722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48D819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6FB44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Patentová statistika</w:t>
            </w:r>
          </w:p>
        </w:tc>
        <w:tc>
          <w:tcPr>
            <w:tcW w:w="30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44C9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Metadata ÚPV ČR a EPO</w:t>
            </w:r>
          </w:p>
        </w:tc>
      </w:tr>
      <w:tr w:rsidR="00E44E2F" w:rsidRPr="00A67D78" w14:paraId="6E87DAC8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B9457A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B5B9E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6B7CE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Licence</w:t>
            </w:r>
          </w:p>
        </w:tc>
        <w:tc>
          <w:tcPr>
            <w:tcW w:w="3034" w:type="pct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2639E4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Pravidelné roční statistické šetření (LIC 5-01)</w:t>
            </w:r>
          </w:p>
        </w:tc>
      </w:tr>
      <w:tr w:rsidR="00E44E2F" w:rsidRPr="00A67D78" w14:paraId="7359826B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12DB4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346C2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E3766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Zahraniční obchod s high-tech zbožím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00235C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Databáze zahraničního obchodu a metadata z 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Eurostatu</w:t>
            </w:r>
            <w:proofErr w:type="spellEnd"/>
          </w:p>
        </w:tc>
      </w:tr>
      <w:tr w:rsidR="00E44E2F" w:rsidRPr="00A67D78" w14:paraId="41F0F675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D48C4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0D77D1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A8D5A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Technologická platební bilance – zahraniční obchod s technologickými službami</w:t>
            </w:r>
          </w:p>
        </w:tc>
        <w:tc>
          <w:tcPr>
            <w:tcW w:w="30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D9C46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Čtvrtletní výkaz o dovozu a vývozu služeb (ZO 1-04) a metadata 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br/>
              <w:t>z Č</w:t>
            </w:r>
            <w:r>
              <w:rPr>
                <w:rFonts w:cs="Arial"/>
                <w:color w:val="000000"/>
                <w:sz w:val="17"/>
                <w:szCs w:val="17"/>
              </w:rPr>
              <w:t>eské národní banky</w:t>
            </w:r>
          </w:p>
        </w:tc>
      </w:tr>
      <w:tr w:rsidR="00E44E2F" w:rsidRPr="00A67D78" w14:paraId="4979F6E2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2BB5DA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C53BF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MMR</w:t>
            </w: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55A147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MSC2007</w:t>
            </w:r>
          </w:p>
        </w:tc>
        <w:tc>
          <w:tcPr>
            <w:tcW w:w="303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8E0F0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sz w:val="17"/>
                <w:szCs w:val="17"/>
              </w:rPr>
              <w:t>V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ěcný a finanční monitoring programů a pro</w:t>
            </w:r>
            <w:r>
              <w:rPr>
                <w:rFonts w:cs="Arial"/>
                <w:color w:val="000000"/>
                <w:sz w:val="17"/>
                <w:szCs w:val="17"/>
              </w:rPr>
              <w:t>jektů hrazených z fondů EU 2007–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2013</w:t>
            </w:r>
          </w:p>
        </w:tc>
      </w:tr>
      <w:tr w:rsidR="00E44E2F" w:rsidRPr="00A67D78" w14:paraId="4343AD2A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010F92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BF3B37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4F8B63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MS2014+</w:t>
            </w:r>
          </w:p>
        </w:tc>
        <w:tc>
          <w:tcPr>
            <w:tcW w:w="303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A35012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sz w:val="17"/>
                <w:szCs w:val="17"/>
              </w:rPr>
              <w:t>V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ěcný a finanční monitoring programů a pro</w:t>
            </w:r>
            <w:r>
              <w:rPr>
                <w:rFonts w:cs="Arial"/>
                <w:color w:val="000000"/>
                <w:sz w:val="17"/>
                <w:szCs w:val="17"/>
              </w:rPr>
              <w:t>jektů hrazených z fondů EU 2014–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2020</w:t>
            </w:r>
          </w:p>
        </w:tc>
      </w:tr>
      <w:tr w:rsidR="00E44E2F" w:rsidRPr="00A67D78" w14:paraId="14D45938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6EA05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C796A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AAA8CE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MS2021+</w:t>
            </w:r>
          </w:p>
        </w:tc>
        <w:tc>
          <w:tcPr>
            <w:tcW w:w="303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AC3BF" w14:textId="77777777" w:rsidR="00E44E2F" w:rsidRPr="00A67D78" w:rsidRDefault="00E44E2F" w:rsidP="00265F77">
            <w:pPr>
              <w:jc w:val="both"/>
              <w:rPr>
                <w:rFonts w:cs="Arial"/>
                <w:sz w:val="17"/>
                <w:szCs w:val="17"/>
              </w:rPr>
            </w:pPr>
            <w:r w:rsidRPr="00574602">
              <w:rPr>
                <w:rFonts w:cs="Arial"/>
                <w:sz w:val="17"/>
                <w:szCs w:val="17"/>
              </w:rPr>
              <w:t>Monitorovací systém MS2021+</w:t>
            </w:r>
          </w:p>
        </w:tc>
      </w:tr>
      <w:tr w:rsidR="00E44E2F" w:rsidRPr="00A67D78" w14:paraId="42302F79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F8339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9FF4B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MF</w:t>
            </w: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93B512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CEDR</w:t>
            </w:r>
          </w:p>
        </w:tc>
        <w:tc>
          <w:tcPr>
            <w:tcW w:w="303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61854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Centrální evidence dotací z rozpočtu (informace o poskytnutých účelových dotacích ze státního rozpočtu, prostředků EU a dalších finančních zdrojů)</w:t>
            </w:r>
          </w:p>
        </w:tc>
      </w:tr>
      <w:tr w:rsidR="00E44E2F" w:rsidRPr="00A67D78" w14:paraId="5E81B0D1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A1BE8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D8327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TA ČR</w:t>
            </w: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0D29E9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INKA</w:t>
            </w:r>
          </w:p>
        </w:tc>
        <w:tc>
          <w:tcPr>
            <w:tcW w:w="303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DB912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Mapování inovační kapacity ČR: software pro online prezentaci dat z projektu INKA – Inovační kapacity 2014+</w:t>
            </w:r>
          </w:p>
        </w:tc>
      </w:tr>
      <w:tr w:rsidR="00E44E2F" w:rsidRPr="00A67D78" w14:paraId="3625757C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69347E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0F9532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DB8DAF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STARFOS</w:t>
            </w:r>
          </w:p>
        </w:tc>
        <w:tc>
          <w:tcPr>
            <w:tcW w:w="303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74958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Vyhledávač projektů a výsledků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VaVaI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podpořených z veřejných prostředků</w:t>
            </w:r>
          </w:p>
        </w:tc>
      </w:tr>
      <w:tr w:rsidR="00E44E2F" w:rsidRPr="00A67D78" w14:paraId="1BAED844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18D895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9B15C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MPO/</w:t>
            </w:r>
            <w:r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CI</w:t>
            </w: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5D91C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Udělené investiční pobídky</w:t>
            </w:r>
          </w:p>
        </w:tc>
        <w:tc>
          <w:tcPr>
            <w:tcW w:w="303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6D3F9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Přehled udělených investičních podmínek do zpracovatelského průmyslu,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> a vybraných podporovaných oborů služeb</w:t>
            </w:r>
          </w:p>
        </w:tc>
      </w:tr>
      <w:tr w:rsidR="00E44E2F" w:rsidRPr="00A67D78" w14:paraId="3AB5D6AA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B7642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47560" w14:textId="77777777" w:rsidR="00E44E2F" w:rsidRPr="00A67D78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CZINV</w:t>
            </w: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7D4F1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M</w:t>
            </w:r>
            <w:r w:rsidRPr="00B808D7">
              <w:rPr>
                <w:rFonts w:cs="Arial"/>
                <w:color w:val="000000"/>
                <w:sz w:val="17"/>
                <w:szCs w:val="17"/>
              </w:rPr>
              <w:t xml:space="preserve">apové vrstvy </w:t>
            </w:r>
            <w:proofErr w:type="spellStart"/>
            <w:r w:rsidRPr="00B808D7">
              <w:rPr>
                <w:rFonts w:cs="Arial"/>
                <w:color w:val="000000"/>
                <w:sz w:val="17"/>
                <w:szCs w:val="17"/>
              </w:rPr>
              <w:t>CzechInvestu</w:t>
            </w:r>
            <w:proofErr w:type="spellEnd"/>
          </w:p>
        </w:tc>
        <w:tc>
          <w:tcPr>
            <w:tcW w:w="303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0FF0F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 xml:space="preserve">Mapování regionálních inovačních kapacit a infrastruktury (doprava, podnikatelská infrastruktura, </w:t>
            </w:r>
            <w:proofErr w:type="spellStart"/>
            <w:r>
              <w:rPr>
                <w:rFonts w:cs="Arial"/>
                <w:color w:val="000000"/>
                <w:sz w:val="17"/>
                <w:szCs w:val="17"/>
              </w:rPr>
              <w:t>VaVaI</w:t>
            </w:r>
            <w:proofErr w:type="spellEnd"/>
            <w:r>
              <w:rPr>
                <w:rFonts w:cs="Arial"/>
                <w:color w:val="000000"/>
                <w:sz w:val="17"/>
                <w:szCs w:val="17"/>
              </w:rPr>
              <w:t>, vzdělávání, veřejná podpora, nemovitosti, socioekonomické ukazatele)</w:t>
            </w:r>
            <w:r>
              <w:rPr>
                <w:rStyle w:val="Odkaznakoment"/>
              </w:rPr>
              <w:t xml:space="preserve"> </w:t>
            </w:r>
          </w:p>
        </w:tc>
      </w:tr>
      <w:tr w:rsidR="00E44E2F" w:rsidRPr="00A67D78" w14:paraId="6D100678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F90708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F9E7E" w14:textId="77777777" w:rsidR="00E44E2F" w:rsidRDefault="00E44E2F" w:rsidP="00265F77">
            <w:pPr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ASEP</w:t>
            </w: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0007F" w14:textId="77777777" w:rsidR="00E44E2F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E</w:t>
            </w:r>
            <w:r w:rsidRPr="00D05D34">
              <w:rPr>
                <w:rFonts w:cs="Arial"/>
                <w:color w:val="000000"/>
                <w:sz w:val="17"/>
                <w:szCs w:val="17"/>
              </w:rPr>
              <w:t>vidence výsledků vědecké práce v AV ČR</w:t>
            </w:r>
          </w:p>
        </w:tc>
        <w:tc>
          <w:tcPr>
            <w:tcW w:w="303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DFCEDE" w14:textId="77777777" w:rsidR="00E44E2F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D05D34">
              <w:rPr>
                <w:rFonts w:cs="Arial"/>
                <w:color w:val="000000"/>
                <w:sz w:val="17"/>
                <w:szCs w:val="17"/>
              </w:rPr>
              <w:t>Bibliografické záznamy jsou dostupné s retrospektivou až do roku 1985, v</w:t>
            </w:r>
            <w:r>
              <w:rPr>
                <w:rFonts w:cs="Arial"/>
                <w:color w:val="000000"/>
                <w:sz w:val="17"/>
                <w:szCs w:val="17"/>
              </w:rPr>
              <w:t> </w:t>
            </w:r>
            <w:r w:rsidRPr="00D05D34">
              <w:rPr>
                <w:rFonts w:cs="Arial"/>
                <w:color w:val="000000"/>
                <w:sz w:val="17"/>
                <w:szCs w:val="17"/>
              </w:rPr>
              <w:t>úplnosti pak od roku 1993. V některých případech mohou záznamy obsahovat také plné texty publikovaných dokumentů.</w:t>
            </w:r>
          </w:p>
        </w:tc>
      </w:tr>
      <w:tr w:rsidR="00E44E2F" w:rsidRPr="00A67D78" w14:paraId="65169A72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D5120C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72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2211ED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Další dokumenty a statistiky poskytovatelů nebo resortů a dalších organizací*</w:t>
            </w:r>
          </w:p>
        </w:tc>
      </w:tr>
      <w:tr w:rsidR="00E44E2F" w:rsidRPr="00A67D78" w14:paraId="7249126C" w14:textId="77777777" w:rsidTr="00E44E2F">
        <w:trPr>
          <w:trHeight w:val="280"/>
          <w:jc w:val="center"/>
        </w:trPr>
        <w:tc>
          <w:tcPr>
            <w:tcW w:w="2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2F2FF03D" w14:textId="77777777" w:rsidR="00E44E2F" w:rsidRPr="00A67D78" w:rsidRDefault="00E44E2F" w:rsidP="00265F77">
            <w:pPr>
              <w:ind w:left="113" w:right="113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ZAHRANIČNÍ</w:t>
            </w: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20326B" w14:textId="77777777" w:rsidR="00E44E2F" w:rsidRPr="00A67D78" w:rsidRDefault="00E44E2F" w:rsidP="00265F77">
            <w:pPr>
              <w:jc w:val="center"/>
              <w:rPr>
                <w:rFonts w:cs="Arial"/>
                <w:b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EUROSTAT</w:t>
            </w: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B200B" w14:textId="77777777" w:rsidR="00E44E2F" w:rsidRPr="00A67D78" w:rsidRDefault="00E44E2F" w:rsidP="00265F77">
            <w:pPr>
              <w:rPr>
                <w:rFonts w:cs="Arial"/>
                <w:b/>
                <w:color w:val="000000"/>
                <w:sz w:val="17"/>
                <w:szCs w:val="17"/>
              </w:rPr>
            </w:pP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Government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budget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appropriations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or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outlays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for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R&amp;D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statistics</w:t>
            </w:r>
            <w:proofErr w:type="spellEnd"/>
          </w:p>
        </w:tc>
      </w:tr>
      <w:tr w:rsidR="00E44E2F" w:rsidRPr="00A67D78" w14:paraId="29F587F7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549D8F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D7F8B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EUROSTAT</w:t>
            </w:r>
          </w:p>
          <w:p w14:paraId="2982D66F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OECD</w:t>
            </w: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9191F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Community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innovation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survey</w:t>
            </w:r>
            <w:proofErr w:type="spellEnd"/>
          </w:p>
        </w:tc>
      </w:tr>
      <w:tr w:rsidR="00E44E2F" w:rsidRPr="00A67D78" w14:paraId="7EE06425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6DD011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D40500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0AF43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High-tech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industry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and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knowledge-intensive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services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statistics</w:t>
            </w:r>
            <w:proofErr w:type="spellEnd"/>
          </w:p>
        </w:tc>
      </w:tr>
      <w:tr w:rsidR="00E44E2F" w:rsidRPr="00A67D78" w14:paraId="3EB37908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ED23C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405C4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DEBFF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Patent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statistics</w:t>
            </w:r>
            <w:proofErr w:type="spellEnd"/>
          </w:p>
        </w:tc>
      </w:tr>
      <w:tr w:rsidR="00E44E2F" w:rsidRPr="00A67D78" w14:paraId="2DADD2F3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6EC8B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D52A9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F8DFC7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Statistics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on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Human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Resources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in Science &amp; Technology</w:t>
            </w:r>
          </w:p>
        </w:tc>
      </w:tr>
      <w:tr w:rsidR="00E44E2F" w:rsidRPr="00A67D78" w14:paraId="5575758A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27F49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9C02E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E6213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Research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and Development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Statistics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</w:p>
        </w:tc>
      </w:tr>
      <w:tr w:rsidR="00E44E2F" w:rsidRPr="00A67D78" w14:paraId="3878A456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B1051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DBD75" w14:textId="77777777" w:rsidR="00E44E2F" w:rsidRPr="008F3E21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>
              <w:rPr>
                <w:rFonts w:cs="Arial"/>
                <w:color w:val="000000"/>
                <w:sz w:val="17"/>
                <w:szCs w:val="17"/>
              </w:rPr>
              <w:t>TiVa</w:t>
            </w:r>
            <w:proofErr w:type="spellEnd"/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F9F6AA" w14:textId="77777777" w:rsidR="00E44E2F" w:rsidRPr="008F3E21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Databáze obchodu s přidanou hodnotou (OECD ve spolupráci se Světovou bankou)</w:t>
            </w:r>
          </w:p>
        </w:tc>
      </w:tr>
      <w:tr w:rsidR="00E44E2F" w:rsidRPr="00A67D78" w14:paraId="0CBCF34D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454326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DBC5C" w14:textId="77777777" w:rsidR="00E44E2F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 xml:space="preserve">STIP </w:t>
            </w:r>
            <w:proofErr w:type="spellStart"/>
            <w:r>
              <w:rPr>
                <w:rFonts w:cs="Arial"/>
                <w:color w:val="000000"/>
                <w:sz w:val="17"/>
                <w:szCs w:val="17"/>
              </w:rPr>
              <w:t>Compass</w:t>
            </w:r>
            <w:proofErr w:type="spellEnd"/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9FC7B4" w14:textId="77777777" w:rsidR="00E44E2F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Společná iniciativa Evropské komise a OECD, která shromažďuje na jednom místě kvantitativní i kvalitativní údaje o vnitrostátních trendech v oblasti politiky vědy, technologie a inovací</w:t>
            </w:r>
          </w:p>
        </w:tc>
      </w:tr>
      <w:tr w:rsidR="00E44E2F" w:rsidRPr="00A67D78" w14:paraId="07F9666B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CE7936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0CE059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8F3E21">
              <w:rPr>
                <w:rFonts w:cs="Arial"/>
                <w:color w:val="000000"/>
                <w:sz w:val="17"/>
                <w:szCs w:val="17"/>
              </w:rPr>
              <w:t>The</w:t>
            </w:r>
            <w:proofErr w:type="spellEnd"/>
            <w:r w:rsidRPr="008F3E21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8F3E21">
              <w:rPr>
                <w:rFonts w:cs="Arial"/>
                <w:color w:val="000000"/>
                <w:sz w:val="17"/>
                <w:szCs w:val="17"/>
              </w:rPr>
              <w:t>World</w:t>
            </w:r>
            <w:proofErr w:type="spellEnd"/>
            <w:r w:rsidRPr="008F3E21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8F3E21">
              <w:rPr>
                <w:rFonts w:cs="Arial"/>
                <w:color w:val="000000"/>
                <w:sz w:val="17"/>
                <w:szCs w:val="17"/>
              </w:rPr>
              <w:t>Economic</w:t>
            </w:r>
            <w:proofErr w:type="spellEnd"/>
            <w:r w:rsidRPr="008F3E21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8F3E21">
              <w:rPr>
                <w:rFonts w:cs="Arial"/>
                <w:color w:val="000000"/>
                <w:sz w:val="17"/>
                <w:szCs w:val="17"/>
              </w:rPr>
              <w:t>Forum</w:t>
            </w:r>
            <w:proofErr w:type="spellEnd"/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7A2AE" w14:textId="77777777" w:rsidR="00E44E2F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8F3E21">
              <w:rPr>
                <w:rFonts w:cs="Arial"/>
                <w:color w:val="000000"/>
                <w:sz w:val="17"/>
                <w:szCs w:val="17"/>
              </w:rPr>
              <w:t>The</w:t>
            </w:r>
            <w:proofErr w:type="spellEnd"/>
            <w:r w:rsidRPr="008F3E21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8F3E21">
              <w:rPr>
                <w:rFonts w:cs="Arial"/>
                <w:color w:val="000000"/>
                <w:sz w:val="17"/>
                <w:szCs w:val="17"/>
              </w:rPr>
              <w:t>Global</w:t>
            </w:r>
            <w:proofErr w:type="spellEnd"/>
            <w:r w:rsidRPr="008F3E21">
              <w:rPr>
                <w:rFonts w:cs="Arial"/>
                <w:color w:val="000000"/>
                <w:sz w:val="17"/>
                <w:szCs w:val="17"/>
              </w:rPr>
              <w:t> </w:t>
            </w:r>
            <w:proofErr w:type="spellStart"/>
            <w:r w:rsidRPr="008F3E21">
              <w:rPr>
                <w:rFonts w:cs="Arial"/>
                <w:color w:val="000000"/>
                <w:sz w:val="17"/>
                <w:szCs w:val="17"/>
              </w:rPr>
              <w:t>Competetiveness</w:t>
            </w:r>
            <w:proofErr w:type="spellEnd"/>
            <w:r w:rsidRPr="008F3E21">
              <w:rPr>
                <w:rFonts w:cs="Arial"/>
                <w:color w:val="000000"/>
                <w:sz w:val="17"/>
                <w:szCs w:val="17"/>
              </w:rPr>
              <w:t> Index 4.0</w:t>
            </w:r>
          </w:p>
          <w:p w14:paraId="53F8B9B6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FA661F">
              <w:rPr>
                <w:rFonts w:cs="Arial"/>
                <w:color w:val="000000"/>
                <w:sz w:val="17"/>
                <w:szCs w:val="17"/>
              </w:rPr>
              <w:t>Složený index měří výkon podle 114 dílčích indikátorů, které dle WEF ovlivňují konkurenceschopnost ekonomiky</w:t>
            </w:r>
          </w:p>
        </w:tc>
      </w:tr>
      <w:tr w:rsidR="00E44E2F" w:rsidRPr="00A67D78" w14:paraId="0D9542B2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DACE8C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282C3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CORDIS</w:t>
            </w: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CF4BA1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 projektech Rámcových programů</w:t>
            </w:r>
          </w:p>
        </w:tc>
      </w:tr>
      <w:tr w:rsidR="00E44E2F" w:rsidRPr="00A67D78" w14:paraId="3242117A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C6D06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F4828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E-CORDA</w:t>
            </w: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02395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External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Common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Research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Data 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Warehouse</w:t>
            </w:r>
            <w:proofErr w:type="spellEnd"/>
          </w:p>
        </w:tc>
      </w:tr>
      <w:tr w:rsidR="00E44E2F" w:rsidRPr="00A67D78" w14:paraId="6AC00EA0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54306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8FE84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ERC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Funded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Projects</w:t>
            </w:r>
            <w:proofErr w:type="spellEnd"/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8F6C7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Databáze projektů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European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Research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Council</w:t>
            </w:r>
            <w:proofErr w:type="spellEnd"/>
          </w:p>
        </w:tc>
      </w:tr>
      <w:tr w:rsidR="00E44E2F" w:rsidRPr="00A67D78" w14:paraId="1E22BC99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FE0443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F66D01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Partner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Search</w:t>
            </w:r>
            <w:proofErr w:type="spellEnd"/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0CA6F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Vyhledávač subjektů s podobným typem výzkumu na úrovni EU</w:t>
            </w:r>
          </w:p>
        </w:tc>
      </w:tr>
      <w:tr w:rsidR="00E44E2F" w:rsidRPr="00A67D78" w14:paraId="72F5AFAD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9FCDE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56AED5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PATSTAT</w:t>
            </w: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7E0794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 patentových přihláškách a udělených patentech v</w:t>
            </w:r>
            <w:r>
              <w:rPr>
                <w:rFonts w:cs="Arial"/>
                <w:color w:val="000000"/>
                <w:sz w:val="17"/>
                <w:szCs w:val="17"/>
              </w:rPr>
              <w:t> 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rámci celé EU</w:t>
            </w:r>
          </w:p>
        </w:tc>
      </w:tr>
      <w:tr w:rsidR="00E44E2F" w:rsidRPr="00A67D78" w14:paraId="6F0681A7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163E0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17518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ESPACENET</w:t>
            </w: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36090F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Celosvětová databáze obsahující patentové dokumenty (Evropský patentový úřad)</w:t>
            </w:r>
          </w:p>
        </w:tc>
      </w:tr>
      <w:tr w:rsidR="00E44E2F" w:rsidRPr="00A67D78" w14:paraId="5CD6DF5F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8D196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D5350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STAR METRICS</w:t>
            </w: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20C84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Informace o veřejné podpoře, struktuře a výsledcích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VaV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aktivit v</w:t>
            </w:r>
            <w:r>
              <w:rPr>
                <w:rFonts w:cs="Arial"/>
                <w:color w:val="000000"/>
                <w:sz w:val="17"/>
                <w:szCs w:val="17"/>
              </w:rPr>
              <w:t> 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USA</w:t>
            </w:r>
          </w:p>
        </w:tc>
      </w:tr>
      <w:tr w:rsidR="00E44E2F" w:rsidRPr="00A67D78" w14:paraId="0FC09E9F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441AED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9C0A6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EU Open Data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Portal</w:t>
            </w:r>
            <w:proofErr w:type="spellEnd"/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0963F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Data zveřejňovaná orgány a institucemi EU, např. údaje o účasti v rámcových programech EU</w:t>
            </w:r>
          </w:p>
        </w:tc>
      </w:tr>
      <w:tr w:rsidR="00E44E2F" w:rsidRPr="00A67D78" w14:paraId="64A5170B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91E1EC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5025C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RISIS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Datasets</w:t>
            </w:r>
            <w:proofErr w:type="spellEnd"/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8655B" w14:textId="77777777" w:rsidR="00E44E2F" w:rsidRPr="00A67D78" w:rsidRDefault="00E44E2F" w:rsidP="00265F77">
            <w:pPr>
              <w:jc w:val="both"/>
              <w:rPr>
                <w:rFonts w:cs="Arial"/>
                <w:caps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Obsahuje databáze jako CHEETAH, CIB/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CinnoB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, CWTS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Publication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Database, EUPRO, IFRIS-PATST</w:t>
            </w:r>
            <w:r w:rsidRPr="00A67D78">
              <w:rPr>
                <w:rFonts w:cs="Arial"/>
                <w:caps/>
                <w:color w:val="000000"/>
                <w:sz w:val="17"/>
                <w:szCs w:val="17"/>
              </w:rPr>
              <w:t>AT, JOREP 2.0, MORE, NANO, PROFILE, RISIS-ETER, SIPER, VICO</w:t>
            </w:r>
          </w:p>
        </w:tc>
      </w:tr>
      <w:tr w:rsidR="00E44E2F" w:rsidRPr="00A67D78" w14:paraId="1AC5B9EE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71E9AC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E3BCF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42AED">
              <w:rPr>
                <w:rFonts w:cs="Arial"/>
                <w:color w:val="000000"/>
                <w:sz w:val="17"/>
                <w:szCs w:val="17"/>
              </w:rPr>
              <w:t xml:space="preserve">Open </w:t>
            </w:r>
            <w:proofErr w:type="spellStart"/>
            <w:r w:rsidRPr="00A42AED">
              <w:rPr>
                <w:rFonts w:cs="Arial"/>
                <w:color w:val="000000"/>
                <w:sz w:val="17"/>
                <w:szCs w:val="17"/>
              </w:rPr>
              <w:t>Research</w:t>
            </w:r>
            <w:proofErr w:type="spellEnd"/>
            <w:r w:rsidRPr="00A42AED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42AED">
              <w:rPr>
                <w:rFonts w:cs="Arial"/>
                <w:color w:val="000000"/>
                <w:sz w:val="17"/>
                <w:szCs w:val="17"/>
              </w:rPr>
              <w:t>Europe</w:t>
            </w:r>
            <w:proofErr w:type="spellEnd"/>
            <w:r w:rsidRPr="00A42AED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42AED">
              <w:rPr>
                <w:rFonts w:cs="Arial"/>
                <w:color w:val="000000"/>
                <w:sz w:val="17"/>
                <w:szCs w:val="17"/>
              </w:rPr>
              <w:t>platform</w:t>
            </w:r>
            <w:proofErr w:type="spellEnd"/>
            <w:r w:rsidRPr="00A42AED">
              <w:rPr>
                <w:rFonts w:cs="Arial"/>
                <w:color w:val="000000"/>
                <w:sz w:val="17"/>
                <w:szCs w:val="17"/>
              </w:rPr>
              <w:t xml:space="preserve"> (ORE)</w:t>
            </w: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E94341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P</w:t>
            </w:r>
            <w:r w:rsidRPr="00A42AED">
              <w:rPr>
                <w:rFonts w:cs="Arial"/>
                <w:color w:val="000000"/>
                <w:sz w:val="17"/>
                <w:szCs w:val="17"/>
              </w:rPr>
              <w:t>ublikační platforma s otevřeným přístupem pro publikování výsledků výzkumu financovaného z programů Horizont 2020, Horizont Evropa a/nebo Euratom ve všech tematických oblastech.</w:t>
            </w:r>
          </w:p>
        </w:tc>
      </w:tr>
      <w:tr w:rsidR="00E44E2F" w:rsidRPr="00A67D78" w14:paraId="60EEE9BC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AA479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0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47499" w14:textId="77777777" w:rsidR="00E44E2F" w:rsidRPr="00A42AED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>
              <w:rPr>
                <w:rFonts w:cs="Arial"/>
                <w:color w:val="000000"/>
                <w:sz w:val="17"/>
                <w:szCs w:val="17"/>
              </w:rPr>
              <w:t>She</w:t>
            </w:r>
            <w:proofErr w:type="spellEnd"/>
            <w:r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7"/>
                <w:szCs w:val="17"/>
              </w:rPr>
              <w:t>figures</w:t>
            </w:r>
            <w:proofErr w:type="spellEnd"/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9E5B9" w14:textId="77777777" w:rsidR="00E44E2F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P</w:t>
            </w:r>
            <w:r w:rsidRPr="00215CCA">
              <w:rPr>
                <w:rFonts w:cs="Arial"/>
                <w:color w:val="000000"/>
                <w:sz w:val="17"/>
                <w:szCs w:val="17"/>
              </w:rPr>
              <w:t xml:space="preserve">ublikace </w:t>
            </w:r>
            <w:r>
              <w:rPr>
                <w:rFonts w:cs="Arial"/>
                <w:color w:val="000000"/>
                <w:sz w:val="17"/>
                <w:szCs w:val="17"/>
              </w:rPr>
              <w:t>prezentuje</w:t>
            </w:r>
            <w:r w:rsidRPr="00215CCA">
              <w:rPr>
                <w:rFonts w:cs="Arial"/>
                <w:color w:val="000000"/>
                <w:sz w:val="17"/>
                <w:szCs w:val="17"/>
              </w:rPr>
              <w:t xml:space="preserve"> nejnovější dostupné statistiky ke sledování stavu výzkumu a inovací v oblasti rovnosti žen a mužů v Evropě i</w:t>
            </w:r>
            <w:r>
              <w:rPr>
                <w:rFonts w:cs="Arial"/>
                <w:color w:val="000000"/>
                <w:sz w:val="17"/>
                <w:szCs w:val="17"/>
              </w:rPr>
              <w:t> </w:t>
            </w:r>
            <w:r w:rsidRPr="00215CCA">
              <w:rPr>
                <w:rFonts w:cs="Arial"/>
                <w:color w:val="000000"/>
                <w:sz w:val="17"/>
                <w:szCs w:val="17"/>
              </w:rPr>
              <w:t>mimo ni a poskytuje srovnatelné údaje a analýzy pro přibližně 88 ukazatelů.</w:t>
            </w:r>
          </w:p>
        </w:tc>
      </w:tr>
      <w:tr w:rsidR="00E44E2F" w:rsidRPr="00A67D78" w14:paraId="0CB768CC" w14:textId="77777777" w:rsidTr="00E44E2F">
        <w:trPr>
          <w:trHeight w:val="46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89B121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5D250A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>
              <w:rPr>
                <w:rFonts w:cs="Arial"/>
                <w:color w:val="000000"/>
                <w:sz w:val="17"/>
                <w:szCs w:val="17"/>
              </w:rPr>
              <w:t>Clarivate</w:t>
            </w:r>
            <w:proofErr w:type="spellEnd"/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62D99C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Web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of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Science</w:t>
            </w:r>
          </w:p>
        </w:tc>
        <w:tc>
          <w:tcPr>
            <w:tcW w:w="27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2FB82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Umožnuje zpracovávat statistiky účasti RP (databáze grantových dohod a databáze návrhu projektů a žadatelů)</w:t>
            </w:r>
          </w:p>
        </w:tc>
      </w:tr>
      <w:tr w:rsidR="00E44E2F" w:rsidRPr="00A67D78" w14:paraId="79AAFCB0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3C00EB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C3B05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>
              <w:rPr>
                <w:rFonts w:cs="Arial"/>
                <w:color w:val="000000"/>
                <w:sz w:val="17"/>
                <w:szCs w:val="17"/>
              </w:rPr>
              <w:t>Clarivate</w:t>
            </w:r>
            <w:proofErr w:type="spellEnd"/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10E33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Journal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Citation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Reports</w:t>
            </w:r>
            <w:proofErr w:type="spellEnd"/>
          </w:p>
        </w:tc>
        <w:tc>
          <w:tcPr>
            <w:tcW w:w="2766" w:type="pct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3A9D23" w14:textId="77777777" w:rsidR="00E44E2F" w:rsidRPr="00A67D78" w:rsidRDefault="00E44E2F" w:rsidP="00265F77">
            <w:pPr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sz w:val="17"/>
                <w:szCs w:val="17"/>
              </w:rPr>
              <w:t>Citační rejstříky</w:t>
            </w:r>
          </w:p>
        </w:tc>
      </w:tr>
      <w:tr w:rsidR="00E44E2F" w:rsidRPr="00A67D78" w14:paraId="6C0257E6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CD5E3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963950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Elsevier</w:t>
            </w:r>
            <w:proofErr w:type="spellEnd"/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16F5A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Scopus</w:t>
            </w:r>
            <w:proofErr w:type="spellEnd"/>
          </w:p>
        </w:tc>
        <w:tc>
          <w:tcPr>
            <w:tcW w:w="2766" w:type="pct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9BFDD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E44E2F" w:rsidRPr="00A67D78" w14:paraId="005AA49A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F311DC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0EFC6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European</w:t>
            </w:r>
            <w:proofErr w:type="spellEnd"/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 science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foundation</w:t>
            </w:r>
            <w:proofErr w:type="spellEnd"/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B6A60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ERIH PLUS</w:t>
            </w:r>
          </w:p>
        </w:tc>
        <w:tc>
          <w:tcPr>
            <w:tcW w:w="276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2CD100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E44E2F" w:rsidRPr="00A67D78" w14:paraId="0ECFE8D1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6952E1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9D5EA6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Google </w:t>
            </w:r>
            <w:proofErr w:type="spellStart"/>
            <w:r w:rsidRPr="00A67D78">
              <w:rPr>
                <w:rFonts w:cs="Arial"/>
                <w:color w:val="000000"/>
                <w:sz w:val="17"/>
                <w:szCs w:val="17"/>
              </w:rPr>
              <w:t>Scholar</w:t>
            </w:r>
            <w:proofErr w:type="spellEnd"/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4F785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EBSCO</w:t>
            </w:r>
          </w:p>
        </w:tc>
        <w:tc>
          <w:tcPr>
            <w:tcW w:w="2766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D894C4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Plnotextové databáze</w:t>
            </w:r>
          </w:p>
        </w:tc>
      </w:tr>
      <w:tr w:rsidR="00E44E2F" w:rsidRPr="00A67D78" w14:paraId="37822E12" w14:textId="77777777" w:rsidTr="00E44E2F">
        <w:trPr>
          <w:trHeight w:val="280"/>
          <w:jc w:val="center"/>
        </w:trPr>
        <w:tc>
          <w:tcPr>
            <w:tcW w:w="2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34396" w14:textId="77777777" w:rsidR="00E44E2F" w:rsidRPr="00A67D78" w:rsidRDefault="00E44E2F" w:rsidP="00265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72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4AB08" w14:textId="77777777" w:rsidR="00E44E2F" w:rsidRPr="00A67D78" w:rsidRDefault="00E44E2F" w:rsidP="00265F77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Další dokumenty, statistiky a studie**</w:t>
            </w:r>
          </w:p>
        </w:tc>
      </w:tr>
    </w:tbl>
    <w:p w14:paraId="58FE7C6D" w14:textId="77777777" w:rsidR="00E44E2F" w:rsidRPr="0021475A" w:rsidRDefault="00E44E2F" w:rsidP="00E44E2F">
      <w:pPr>
        <w:pBdr>
          <w:top w:val="nil"/>
          <w:left w:val="nil"/>
          <w:bottom w:val="nil"/>
          <w:right w:val="nil"/>
          <w:between w:val="nil"/>
        </w:pBdr>
        <w:spacing w:before="120" w:after="240" w:line="23" w:lineRule="atLeast"/>
        <w:jc w:val="both"/>
        <w:rPr>
          <w:rFonts w:cs="Arial"/>
          <w:i/>
          <w:color w:val="000000"/>
          <w:sz w:val="18"/>
          <w:szCs w:val="18"/>
        </w:rPr>
      </w:pPr>
      <w:r w:rsidRPr="0021475A">
        <w:rPr>
          <w:rFonts w:cs="Arial"/>
          <w:i/>
          <w:color w:val="000000"/>
          <w:sz w:val="18"/>
          <w:szCs w:val="18"/>
        </w:rPr>
        <w:t>Zdroj: vlastní zpracování</w:t>
      </w:r>
    </w:p>
    <w:p w14:paraId="35F83BF6" w14:textId="77777777" w:rsidR="00E44E2F" w:rsidRPr="0021475A" w:rsidRDefault="00E44E2F" w:rsidP="00E44E2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60" w:line="23" w:lineRule="atLeast"/>
        <w:ind w:left="420" w:hanging="420"/>
        <w:jc w:val="both"/>
        <w:rPr>
          <w:rFonts w:cs="Arial"/>
          <w:i/>
          <w:color w:val="000000"/>
          <w:sz w:val="18"/>
          <w:szCs w:val="18"/>
        </w:rPr>
      </w:pPr>
      <w:r w:rsidRPr="0021475A">
        <w:rPr>
          <w:rFonts w:cs="Arial"/>
          <w:i/>
          <w:color w:val="000000"/>
          <w:sz w:val="18"/>
          <w:szCs w:val="18"/>
        </w:rPr>
        <w:t>*</w:t>
      </w:r>
      <w:r w:rsidRPr="0021475A">
        <w:rPr>
          <w:rFonts w:cs="Arial"/>
          <w:i/>
          <w:color w:val="000000"/>
          <w:sz w:val="18"/>
          <w:szCs w:val="18"/>
        </w:rPr>
        <w:tab/>
        <w:t>Např. Rejstřík veřejných výzkumných institucí; Databáze akreditovaných studijních programů; Panorama zpracovatelského průmyslu vydávané MPO; programové dokumenty, monitorovací zprávy a další materiály k operačním programům.</w:t>
      </w:r>
    </w:p>
    <w:p w14:paraId="0F212875" w14:textId="77777777" w:rsidR="00E44E2F" w:rsidRPr="0021475A" w:rsidRDefault="00E44E2F" w:rsidP="00E44E2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60" w:line="23" w:lineRule="atLeast"/>
        <w:jc w:val="both"/>
        <w:rPr>
          <w:rFonts w:cs="Arial"/>
          <w:i/>
          <w:color w:val="000000"/>
          <w:sz w:val="18"/>
          <w:szCs w:val="18"/>
        </w:rPr>
      </w:pPr>
      <w:r w:rsidRPr="0021475A">
        <w:rPr>
          <w:rFonts w:cs="Arial"/>
          <w:i/>
          <w:color w:val="000000"/>
          <w:sz w:val="18"/>
          <w:szCs w:val="18"/>
        </w:rPr>
        <w:t>**</w:t>
      </w:r>
      <w:r w:rsidRPr="0021475A">
        <w:rPr>
          <w:rFonts w:cs="Arial"/>
          <w:i/>
          <w:color w:val="000000"/>
          <w:sz w:val="18"/>
          <w:szCs w:val="18"/>
        </w:rPr>
        <w:tab/>
        <w:t xml:space="preserve">Např.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European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Innovation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Scoreboard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,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Research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and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innovation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statistics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at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regional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level.</w:t>
      </w:r>
    </w:p>
    <w:p w14:paraId="0619CD0D" w14:textId="77777777" w:rsidR="00E44E2F" w:rsidRDefault="00E44E2F" w:rsidP="00E44E2F">
      <w:pPr>
        <w:pBdr>
          <w:top w:val="nil"/>
          <w:left w:val="nil"/>
          <w:bottom w:val="nil"/>
          <w:right w:val="nil"/>
          <w:between w:val="nil"/>
        </w:pBdr>
        <w:spacing w:after="60" w:line="23" w:lineRule="atLeast"/>
        <w:jc w:val="both"/>
        <w:rPr>
          <w:rFonts w:cs="Arial"/>
          <w:i/>
          <w:color w:val="000000"/>
          <w:sz w:val="18"/>
          <w:szCs w:val="18"/>
        </w:rPr>
      </w:pPr>
      <w:r w:rsidRPr="0021475A">
        <w:rPr>
          <w:rFonts w:cs="Arial"/>
          <w:i/>
          <w:color w:val="000000"/>
          <w:sz w:val="18"/>
          <w:szCs w:val="18"/>
        </w:rPr>
        <w:t xml:space="preserve">Vzhledem k současným potřebám by bylo dobré statistiky doplnit o evidenci institucionálních prostředků podle oborů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VaVaI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, které byly podpořeny, a dále evidovat podporu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VaVaI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na národní úrovni v účetním členění na přímé a nepřímé náklady za jednotlivé finanční nástroje. Bylo by vhodné na národní úrovni sledovat a mít k dispozici statistiky o využití výsledků. V oblasti lidských zdrojů by bylo přínosné propojit data s daty z oblasti trhu práce a rozšířit je o genderové statistiky. Byl vytvořen převodník pro sjednocení číselníků vědních oborů používaných v ČR se strukturou definovanou OECD –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Fields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of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Science jak na úrovni evidence IS </w:t>
      </w:r>
      <w:proofErr w:type="spellStart"/>
      <w:r w:rsidRPr="0021475A">
        <w:rPr>
          <w:rFonts w:cs="Arial"/>
          <w:i/>
          <w:color w:val="000000"/>
          <w:sz w:val="18"/>
          <w:szCs w:val="18"/>
        </w:rPr>
        <w:t>VaVaI</w:t>
      </w:r>
      <w:proofErr w:type="spellEnd"/>
      <w:r w:rsidRPr="0021475A">
        <w:rPr>
          <w:rFonts w:cs="Arial"/>
          <w:i/>
          <w:color w:val="000000"/>
          <w:sz w:val="18"/>
          <w:szCs w:val="18"/>
        </w:rPr>
        <w:t xml:space="preserve"> (skupiny oborů CEP&amp;CEZ&amp;RIV, tak oborových skupin pro hodnocení dle Metodiky hodnocení výsledků, přílohy č. 7).</w:t>
      </w:r>
    </w:p>
    <w:p w14:paraId="26DC1635" w14:textId="77777777" w:rsidR="00E44E2F" w:rsidRDefault="00E44E2F" w:rsidP="00E44E2F">
      <w:pPr>
        <w:pBdr>
          <w:top w:val="nil"/>
          <w:left w:val="nil"/>
          <w:bottom w:val="nil"/>
          <w:right w:val="nil"/>
          <w:between w:val="nil"/>
        </w:pBdr>
        <w:spacing w:after="60" w:line="23" w:lineRule="atLeast"/>
        <w:jc w:val="both"/>
        <w:rPr>
          <w:rFonts w:cs="Arial"/>
          <w:i/>
          <w:color w:val="000000"/>
          <w:sz w:val="18"/>
          <w:szCs w:val="18"/>
        </w:rPr>
      </w:pPr>
    </w:p>
    <w:p w14:paraId="6EA3E906" w14:textId="77777777" w:rsidR="00E44E2F" w:rsidRPr="00E44E2F" w:rsidRDefault="00E44E2F" w:rsidP="00E44E2F">
      <w:pPr>
        <w:pStyle w:val="Nadpisbezstranky"/>
        <w:rPr>
          <w:bCs w:val="0"/>
          <w:smallCaps w:val="0"/>
          <w:color w:val="0070C0"/>
          <w:sz w:val="24"/>
          <w:szCs w:val="24"/>
        </w:rPr>
      </w:pPr>
      <w:bookmarkStart w:id="4" w:name="_Toc132209735"/>
      <w:r w:rsidRPr="00E44E2F">
        <w:rPr>
          <w:bCs w:val="0"/>
          <w:smallCaps w:val="0"/>
          <w:color w:val="0070C0"/>
          <w:sz w:val="24"/>
          <w:szCs w:val="24"/>
        </w:rPr>
        <w:t>Harmonogram</w:t>
      </w:r>
      <w:bookmarkEnd w:id="4"/>
    </w:p>
    <w:p w14:paraId="212F74E8" w14:textId="77777777" w:rsidR="00E44E2F" w:rsidRPr="005C6163" w:rsidRDefault="00E44E2F" w:rsidP="005C6163">
      <w:pPr>
        <w:spacing w:line="360" w:lineRule="auto"/>
        <w:rPr>
          <w:rFonts w:ascii="Arial" w:hAnsi="Arial" w:cs="Arial"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 xml:space="preserve">V rámci přípravy Analýzy </w:t>
      </w:r>
      <w:proofErr w:type="spellStart"/>
      <w:r w:rsidRPr="005C6163">
        <w:rPr>
          <w:rFonts w:ascii="Arial" w:hAnsi="Arial" w:cs="Arial"/>
          <w:sz w:val="22"/>
          <w:szCs w:val="22"/>
        </w:rPr>
        <w:t>VaVaI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za rok 2024 jsou plánovány následující aktivity:</w:t>
      </w:r>
    </w:p>
    <w:p w14:paraId="34A4A726" w14:textId="77777777" w:rsidR="00E44E2F" w:rsidRPr="005C6163" w:rsidRDefault="00E44E2F" w:rsidP="005C6163">
      <w:pPr>
        <w:spacing w:line="360" w:lineRule="auto"/>
        <w:ind w:left="708"/>
        <w:rPr>
          <w:rFonts w:ascii="Arial" w:hAnsi="Arial" w:cs="Arial"/>
          <w:b/>
          <w:bCs/>
          <w:sz w:val="22"/>
          <w:szCs w:val="22"/>
        </w:rPr>
      </w:pPr>
      <w:r w:rsidRPr="005C6163">
        <w:rPr>
          <w:rFonts w:ascii="Arial" w:hAnsi="Arial" w:cs="Arial"/>
          <w:b/>
          <w:bCs/>
          <w:sz w:val="22"/>
          <w:szCs w:val="22"/>
        </w:rPr>
        <w:t xml:space="preserve">Termíny fází zpracování Analýzy </w:t>
      </w:r>
      <w:proofErr w:type="spellStart"/>
      <w:r w:rsidRPr="005C6163">
        <w:rPr>
          <w:rFonts w:ascii="Arial" w:hAnsi="Arial" w:cs="Arial"/>
          <w:b/>
          <w:bCs/>
          <w:sz w:val="22"/>
          <w:szCs w:val="22"/>
        </w:rPr>
        <w:t>VaVaI</w:t>
      </w:r>
      <w:proofErr w:type="spellEnd"/>
      <w:r w:rsidRPr="005C6163">
        <w:rPr>
          <w:rFonts w:ascii="Arial" w:hAnsi="Arial" w:cs="Arial"/>
          <w:b/>
          <w:bCs/>
          <w:sz w:val="22"/>
          <w:szCs w:val="22"/>
        </w:rPr>
        <w:t xml:space="preserve"> v roce 2024 a jejich předložení Radě:</w:t>
      </w:r>
    </w:p>
    <w:p w14:paraId="2BAD1F7E" w14:textId="77777777" w:rsidR="00E44E2F" w:rsidRPr="005C6163" w:rsidRDefault="00E44E2F" w:rsidP="005C6163">
      <w:pPr>
        <w:pStyle w:val="Odstavecseseznamem"/>
        <w:numPr>
          <w:ilvl w:val="0"/>
          <w:numId w:val="29"/>
        </w:numPr>
        <w:spacing w:after="200" w:line="360" w:lineRule="auto"/>
        <w:ind w:left="1423" w:hanging="357"/>
        <w:rPr>
          <w:rFonts w:ascii="Arial" w:hAnsi="Arial" w:cs="Arial"/>
          <w:b/>
          <w:bCs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 xml:space="preserve">25. 4. 2025 – Návrh zadání Analýzy </w:t>
      </w:r>
      <w:proofErr w:type="spellStart"/>
      <w:r w:rsidRPr="005C6163">
        <w:rPr>
          <w:rFonts w:ascii="Arial" w:hAnsi="Arial" w:cs="Arial"/>
          <w:sz w:val="22"/>
          <w:szCs w:val="22"/>
        </w:rPr>
        <w:t>VaVaI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v roce 2024</w:t>
      </w:r>
    </w:p>
    <w:p w14:paraId="2B9DF194" w14:textId="77777777" w:rsidR="00E44E2F" w:rsidRPr="005C6163" w:rsidRDefault="00E44E2F" w:rsidP="005C6163">
      <w:pPr>
        <w:pStyle w:val="Odstavecseseznamem"/>
        <w:numPr>
          <w:ilvl w:val="0"/>
          <w:numId w:val="29"/>
        </w:numPr>
        <w:spacing w:after="200" w:line="360" w:lineRule="auto"/>
        <w:ind w:left="1423" w:hanging="357"/>
        <w:rPr>
          <w:rFonts w:ascii="Arial" w:hAnsi="Arial" w:cs="Arial"/>
          <w:b/>
          <w:bCs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 xml:space="preserve">14. 11 2025 – Informace o stavu přípravy Analýzy </w:t>
      </w:r>
      <w:proofErr w:type="spellStart"/>
      <w:r w:rsidRPr="005C6163">
        <w:rPr>
          <w:rFonts w:ascii="Arial" w:hAnsi="Arial" w:cs="Arial"/>
          <w:sz w:val="22"/>
          <w:szCs w:val="22"/>
        </w:rPr>
        <w:t>VaVaI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v roce 2024</w:t>
      </w:r>
    </w:p>
    <w:p w14:paraId="65497535" w14:textId="77777777" w:rsidR="00E44E2F" w:rsidRPr="005C6163" w:rsidRDefault="00E44E2F" w:rsidP="005C6163">
      <w:pPr>
        <w:pStyle w:val="Odstavecseseznamem"/>
        <w:numPr>
          <w:ilvl w:val="0"/>
          <w:numId w:val="29"/>
        </w:numPr>
        <w:spacing w:after="200" w:line="360" w:lineRule="auto"/>
        <w:ind w:left="1423" w:hanging="357"/>
        <w:rPr>
          <w:rFonts w:ascii="Arial" w:hAnsi="Arial" w:cs="Arial"/>
          <w:b/>
          <w:bCs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 xml:space="preserve">12. 12. 2025 – Pracovní verze Analýzy </w:t>
      </w:r>
      <w:proofErr w:type="spellStart"/>
      <w:r w:rsidRPr="005C6163">
        <w:rPr>
          <w:rFonts w:ascii="Arial" w:hAnsi="Arial" w:cs="Arial"/>
          <w:sz w:val="22"/>
          <w:szCs w:val="22"/>
        </w:rPr>
        <w:t>VaVaI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v roce 2024</w:t>
      </w:r>
    </w:p>
    <w:p w14:paraId="4E22662B" w14:textId="1738FFF2" w:rsidR="00E44E2F" w:rsidRPr="005C6163" w:rsidRDefault="00DD43A5" w:rsidP="005C6163">
      <w:pPr>
        <w:pStyle w:val="Odstavecseseznamem"/>
        <w:numPr>
          <w:ilvl w:val="0"/>
          <w:numId w:val="29"/>
        </w:numPr>
        <w:spacing w:after="20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První kvartál roku</w:t>
      </w:r>
      <w:r w:rsidR="00E44E2F" w:rsidRPr="005C6163">
        <w:rPr>
          <w:rFonts w:ascii="Arial" w:hAnsi="Arial" w:cs="Arial"/>
          <w:sz w:val="22"/>
          <w:szCs w:val="22"/>
        </w:rPr>
        <w:t xml:space="preserve"> 2026 – Finální verze Analýzy </w:t>
      </w:r>
      <w:proofErr w:type="spellStart"/>
      <w:r w:rsidR="00E44E2F" w:rsidRPr="005C6163">
        <w:rPr>
          <w:rFonts w:ascii="Arial" w:hAnsi="Arial" w:cs="Arial"/>
          <w:sz w:val="22"/>
          <w:szCs w:val="22"/>
        </w:rPr>
        <w:t>VaVaI</w:t>
      </w:r>
      <w:proofErr w:type="spellEnd"/>
      <w:r w:rsidR="00E44E2F" w:rsidRPr="005C6163">
        <w:rPr>
          <w:rFonts w:ascii="Arial" w:hAnsi="Arial" w:cs="Arial"/>
          <w:sz w:val="22"/>
          <w:szCs w:val="22"/>
        </w:rPr>
        <w:t xml:space="preserve"> v roce 2024 a následné předložení vládě pro informaci</w:t>
      </w:r>
    </w:p>
    <w:p w14:paraId="18B65963" w14:textId="77777777" w:rsidR="00E44E2F" w:rsidRPr="005C6163" w:rsidRDefault="00E44E2F" w:rsidP="005C6163">
      <w:pPr>
        <w:spacing w:line="360" w:lineRule="auto"/>
        <w:ind w:left="708"/>
        <w:rPr>
          <w:rFonts w:ascii="Arial" w:hAnsi="Arial" w:cs="Arial"/>
          <w:b/>
          <w:bCs/>
          <w:sz w:val="22"/>
          <w:szCs w:val="22"/>
        </w:rPr>
      </w:pPr>
      <w:r w:rsidRPr="005C6163">
        <w:rPr>
          <w:rFonts w:ascii="Arial" w:hAnsi="Arial" w:cs="Arial"/>
          <w:b/>
          <w:bCs/>
          <w:sz w:val="22"/>
          <w:szCs w:val="22"/>
        </w:rPr>
        <w:t>Termíny zveřejnění vybraných statistik a dat:</w:t>
      </w:r>
    </w:p>
    <w:p w14:paraId="268FF5AC" w14:textId="77777777" w:rsidR="00E44E2F" w:rsidRPr="005C6163" w:rsidRDefault="00E44E2F" w:rsidP="005C6163">
      <w:pPr>
        <w:pStyle w:val="Odstavecseseznamem"/>
        <w:numPr>
          <w:ilvl w:val="0"/>
          <w:numId w:val="28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 xml:space="preserve">Do 20. 2 .2025 – IS </w:t>
      </w:r>
      <w:proofErr w:type="spellStart"/>
      <w:r w:rsidRPr="005C6163">
        <w:rPr>
          <w:rFonts w:ascii="Arial" w:hAnsi="Arial" w:cs="Arial"/>
          <w:sz w:val="22"/>
          <w:szCs w:val="22"/>
        </w:rPr>
        <w:t>VaVaI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(CEA, CEP)</w:t>
      </w:r>
    </w:p>
    <w:p w14:paraId="7BD07EA1" w14:textId="77777777" w:rsidR="00E44E2F" w:rsidRPr="005C6163" w:rsidRDefault="00E44E2F" w:rsidP="005C6163">
      <w:pPr>
        <w:pStyle w:val="Odstavecseseznamem"/>
        <w:numPr>
          <w:ilvl w:val="0"/>
          <w:numId w:val="28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 xml:space="preserve">Do 2. 6. 2025 – IS </w:t>
      </w:r>
      <w:proofErr w:type="spellStart"/>
      <w:r w:rsidRPr="005C6163">
        <w:rPr>
          <w:rFonts w:ascii="Arial" w:hAnsi="Arial" w:cs="Arial"/>
          <w:sz w:val="22"/>
          <w:szCs w:val="22"/>
        </w:rPr>
        <w:t>VaVaI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(RIV – VO)</w:t>
      </w:r>
    </w:p>
    <w:p w14:paraId="0896DAB5" w14:textId="77777777" w:rsidR="00E44E2F" w:rsidRPr="005C6163" w:rsidRDefault="00E44E2F" w:rsidP="005C6163">
      <w:pPr>
        <w:pStyle w:val="Odstavecseseznamem"/>
        <w:numPr>
          <w:ilvl w:val="0"/>
          <w:numId w:val="28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 xml:space="preserve">Do 1. 9. 2025 – IS </w:t>
      </w:r>
      <w:proofErr w:type="spellStart"/>
      <w:r w:rsidRPr="005C6163">
        <w:rPr>
          <w:rFonts w:ascii="Arial" w:hAnsi="Arial" w:cs="Arial"/>
          <w:sz w:val="22"/>
          <w:szCs w:val="22"/>
        </w:rPr>
        <w:t>VaVaI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(RIV – ostatní subjekty)</w:t>
      </w:r>
    </w:p>
    <w:p w14:paraId="1E50FABE" w14:textId="77777777" w:rsidR="00E44E2F" w:rsidRPr="005C6163" w:rsidRDefault="00E44E2F" w:rsidP="005C6163">
      <w:pPr>
        <w:pStyle w:val="Odstavecseseznamem"/>
        <w:numPr>
          <w:ilvl w:val="0"/>
          <w:numId w:val="28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>Říjen/listopad 2025 – ČSÚ (Výzkum a vývoj)</w:t>
      </w:r>
    </w:p>
    <w:p w14:paraId="23B00C37" w14:textId="77777777" w:rsidR="00E44E2F" w:rsidRPr="005C6163" w:rsidRDefault="00E44E2F" w:rsidP="005C6163">
      <w:pPr>
        <w:pStyle w:val="Odstavecseseznamem"/>
        <w:numPr>
          <w:ilvl w:val="0"/>
          <w:numId w:val="28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 xml:space="preserve">Říjen/listopad 2025 – </w:t>
      </w:r>
      <w:proofErr w:type="spellStart"/>
      <w:r w:rsidRPr="005C6163">
        <w:rPr>
          <w:rFonts w:ascii="Arial" w:hAnsi="Arial" w:cs="Arial"/>
          <w:sz w:val="22"/>
          <w:szCs w:val="22"/>
        </w:rPr>
        <w:t>Eurostat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C6163">
        <w:rPr>
          <w:rFonts w:ascii="Arial" w:hAnsi="Arial" w:cs="Arial"/>
          <w:sz w:val="22"/>
          <w:szCs w:val="22"/>
        </w:rPr>
        <w:t>Preliminary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Data)</w:t>
      </w:r>
    </w:p>
    <w:p w14:paraId="33D14E82" w14:textId="5DFB2EAB" w:rsidR="00E44E2F" w:rsidRPr="005C6163" w:rsidRDefault="00E44E2F" w:rsidP="005C6163">
      <w:pPr>
        <w:pStyle w:val="Odstavecseseznamem"/>
        <w:numPr>
          <w:ilvl w:val="0"/>
          <w:numId w:val="28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5C6163">
        <w:rPr>
          <w:rFonts w:ascii="Arial" w:hAnsi="Arial" w:cs="Arial"/>
          <w:sz w:val="22"/>
          <w:szCs w:val="22"/>
        </w:rPr>
        <w:t xml:space="preserve">Měsíčně – </w:t>
      </w:r>
      <w:proofErr w:type="spellStart"/>
      <w:r w:rsidRPr="005C6163">
        <w:rPr>
          <w:rFonts w:ascii="Arial" w:hAnsi="Arial" w:cs="Arial"/>
          <w:sz w:val="22"/>
          <w:szCs w:val="22"/>
        </w:rPr>
        <w:t>InCites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Benchmarking &amp; </w:t>
      </w:r>
      <w:proofErr w:type="spellStart"/>
      <w:r w:rsidRPr="005C6163">
        <w:rPr>
          <w:rFonts w:ascii="Arial" w:hAnsi="Arial" w:cs="Arial"/>
          <w:sz w:val="22"/>
          <w:szCs w:val="22"/>
        </w:rPr>
        <w:t>Analytics</w:t>
      </w:r>
      <w:proofErr w:type="spellEnd"/>
      <w:r w:rsidRPr="005C6163">
        <w:rPr>
          <w:rFonts w:ascii="Arial" w:hAnsi="Arial" w:cs="Arial"/>
          <w:sz w:val="22"/>
          <w:szCs w:val="22"/>
        </w:rPr>
        <w:t xml:space="preserve"> (Data </w:t>
      </w:r>
      <w:proofErr w:type="spellStart"/>
      <w:r w:rsidRPr="005C6163">
        <w:rPr>
          <w:rFonts w:ascii="Arial" w:hAnsi="Arial" w:cs="Arial"/>
          <w:sz w:val="22"/>
          <w:szCs w:val="22"/>
        </w:rPr>
        <w:t>Release</w:t>
      </w:r>
      <w:proofErr w:type="spellEnd"/>
      <w:r w:rsidRPr="005C6163">
        <w:rPr>
          <w:rFonts w:ascii="Arial" w:hAnsi="Arial" w:cs="Arial"/>
          <w:sz w:val="22"/>
          <w:szCs w:val="22"/>
        </w:rPr>
        <w:t>)</w:t>
      </w:r>
    </w:p>
    <w:p w14:paraId="350D94E4" w14:textId="77777777" w:rsidR="000C7099" w:rsidRPr="00E44E2F" w:rsidRDefault="000C7099" w:rsidP="00E44E2F"/>
    <w:p w14:paraId="6515CFB5" w14:textId="77777777" w:rsidR="000C7099" w:rsidRDefault="000C7099" w:rsidP="000C7099">
      <w:pPr>
        <w:autoSpaceDE w:val="0"/>
        <w:autoSpaceDN w:val="0"/>
        <w:adjustRightInd w:val="0"/>
        <w:spacing w:before="240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28C88546" w14:textId="77777777" w:rsidR="00493CD2" w:rsidRPr="00493CD2" w:rsidRDefault="00493CD2" w:rsidP="00493CD2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3020BEA6" w14:textId="77777777" w:rsidR="00493CD2" w:rsidRPr="00493CD2" w:rsidRDefault="00493CD2" w:rsidP="00493CD2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4A1334F7" w14:textId="77777777" w:rsidR="00493CD2" w:rsidRPr="00493CD2" w:rsidRDefault="00493CD2" w:rsidP="00493CD2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06CD80F9" w14:textId="77777777" w:rsidR="00493CD2" w:rsidRPr="00493CD2" w:rsidRDefault="00493CD2" w:rsidP="00493CD2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762BCA90" w14:textId="77777777" w:rsidR="00493CD2" w:rsidRPr="00493CD2" w:rsidRDefault="00493CD2" w:rsidP="00493CD2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6C232C93" w14:textId="2A51A8B8" w:rsidR="00493CD2" w:rsidRPr="00493CD2" w:rsidRDefault="005C6163" w:rsidP="00493CD2">
      <w:pPr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5920" behindDoc="1" locked="0" layoutInCell="1" allowOverlap="1" wp14:anchorId="6AB8B884" wp14:editId="03FAE270">
            <wp:simplePos x="0" y="0"/>
            <wp:positionH relativeFrom="margin">
              <wp:posOffset>-528320</wp:posOffset>
            </wp:positionH>
            <wp:positionV relativeFrom="margin">
              <wp:posOffset>-852170</wp:posOffset>
            </wp:positionV>
            <wp:extent cx="6810375" cy="9553575"/>
            <wp:effectExtent l="0" t="0" r="0" b="0"/>
            <wp:wrapTight wrapText="bothSides">
              <wp:wrapPolygon edited="0">
                <wp:start x="14380" y="2326"/>
                <wp:lineTo x="14380" y="2843"/>
                <wp:lineTo x="14984" y="3101"/>
                <wp:lineTo x="16011" y="3101"/>
                <wp:lineTo x="16011" y="3360"/>
                <wp:lineTo x="16313" y="4479"/>
                <wp:lineTo x="16313" y="5168"/>
                <wp:lineTo x="12990" y="5858"/>
                <wp:lineTo x="4652" y="6116"/>
                <wp:lineTo x="4169" y="6159"/>
                <wp:lineTo x="4169" y="6590"/>
                <wp:lineTo x="5740" y="7236"/>
                <wp:lineTo x="6102" y="7925"/>
                <wp:lineTo x="6102" y="9303"/>
                <wp:lineTo x="1571" y="9863"/>
                <wp:lineTo x="1571" y="10208"/>
                <wp:lineTo x="2477" y="10682"/>
                <wp:lineTo x="2900" y="10768"/>
                <wp:lineTo x="3202" y="11371"/>
                <wp:lineTo x="3263" y="12060"/>
                <wp:lineTo x="363" y="12189"/>
                <wp:lineTo x="363" y="12706"/>
                <wp:lineTo x="3625" y="12749"/>
                <wp:lineTo x="3625" y="14816"/>
                <wp:lineTo x="3323" y="15118"/>
                <wp:lineTo x="3323" y="15290"/>
                <wp:lineTo x="3625" y="16195"/>
                <wp:lineTo x="3323" y="16625"/>
                <wp:lineTo x="3263" y="16970"/>
                <wp:lineTo x="5196" y="17573"/>
                <wp:lineTo x="5438" y="17573"/>
                <wp:lineTo x="5075" y="18262"/>
                <wp:lineTo x="5075" y="18391"/>
                <wp:lineTo x="5921" y="18951"/>
                <wp:lineTo x="5740" y="19640"/>
                <wp:lineTo x="5921" y="20071"/>
                <wp:lineTo x="6525" y="20071"/>
                <wp:lineTo x="16192" y="19985"/>
                <wp:lineTo x="16192" y="19511"/>
                <wp:lineTo x="6344" y="18951"/>
                <wp:lineTo x="9667" y="18951"/>
                <wp:lineTo x="21509" y="18434"/>
                <wp:lineTo x="21509" y="18176"/>
                <wp:lineTo x="16072" y="17573"/>
                <wp:lineTo x="21509" y="17271"/>
                <wp:lineTo x="21509" y="17142"/>
                <wp:lineTo x="21389" y="16755"/>
                <wp:lineTo x="16555" y="16195"/>
                <wp:lineTo x="16555" y="15505"/>
                <wp:lineTo x="16857" y="15505"/>
                <wp:lineTo x="16857" y="15247"/>
                <wp:lineTo x="16555" y="14816"/>
                <wp:lineTo x="16555" y="12749"/>
                <wp:lineTo x="21207" y="12706"/>
                <wp:lineTo x="21268" y="12189"/>
                <wp:lineTo x="18851" y="12060"/>
                <wp:lineTo x="18851" y="11371"/>
                <wp:lineTo x="19274" y="10595"/>
                <wp:lineTo x="18609" y="10423"/>
                <wp:lineTo x="16555" y="9992"/>
                <wp:lineTo x="17884" y="9992"/>
                <wp:lineTo x="20663" y="9519"/>
                <wp:lineTo x="20603" y="9174"/>
                <wp:lineTo x="19213" y="8614"/>
                <wp:lineTo x="20784" y="8571"/>
                <wp:lineTo x="20663" y="8011"/>
                <wp:lineTo x="16555" y="7925"/>
                <wp:lineTo x="16676" y="6073"/>
                <wp:lineTo x="16676" y="3790"/>
                <wp:lineTo x="16917" y="3273"/>
                <wp:lineTo x="16857" y="3101"/>
                <wp:lineTo x="18428" y="2972"/>
                <wp:lineTo x="18670" y="2455"/>
                <wp:lineTo x="18186" y="2326"/>
                <wp:lineTo x="14380" y="2326"/>
              </wp:wrapPolygon>
            </wp:wrapTight>
            <wp:docPr id="76452065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24A74C17-8268-0280-9AAF-C7CEE031477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9C8781" w14:textId="35982F0C" w:rsidR="00493CD2" w:rsidRPr="00493CD2" w:rsidRDefault="00493CD2" w:rsidP="00493CD2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408A6E88" w14:textId="64323FB3" w:rsidR="00493CD2" w:rsidRDefault="00493CD2" w:rsidP="00493CD2">
      <w:pP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55F0D9A5" w14:textId="25934B83" w:rsidR="00493CD2" w:rsidRPr="00493CD2" w:rsidRDefault="00493CD2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ab/>
      </w:r>
    </w:p>
    <w:sectPr w:rsidR="00493CD2" w:rsidRPr="00493CD2" w:rsidSect="00DD43A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5CD4C" w14:textId="77777777" w:rsidR="00CF77DC" w:rsidRDefault="00CF77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E5C6" w14:textId="3F61075C" w:rsidR="00B120CD" w:rsidRPr="00CC370F" w:rsidRDefault="00B120CD" w:rsidP="00896A6F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896A6F" w:rsidRPr="00B13622">
      <w:rPr>
        <w:rFonts w:ascii="Arial" w:hAnsi="Arial" w:cs="Arial"/>
        <w:sz w:val="16"/>
        <w:szCs w:val="16"/>
      </w:rPr>
      <w:t xml:space="preserve">Stránka </w:t>
    </w:r>
    <w:r w:rsidR="00896A6F" w:rsidRPr="00B13622">
      <w:rPr>
        <w:rFonts w:ascii="Arial" w:hAnsi="Arial" w:cs="Arial"/>
        <w:sz w:val="16"/>
        <w:szCs w:val="16"/>
      </w:rPr>
      <w:fldChar w:fldCharType="begin"/>
    </w:r>
    <w:r w:rsidR="00896A6F" w:rsidRPr="00B13622">
      <w:rPr>
        <w:rFonts w:ascii="Arial" w:hAnsi="Arial" w:cs="Arial"/>
        <w:sz w:val="16"/>
        <w:szCs w:val="16"/>
      </w:rPr>
      <w:instrText>PAGE</w:instrText>
    </w:r>
    <w:r w:rsidR="00896A6F" w:rsidRPr="00B13622">
      <w:rPr>
        <w:rFonts w:ascii="Arial" w:hAnsi="Arial" w:cs="Arial"/>
        <w:sz w:val="16"/>
        <w:szCs w:val="16"/>
      </w:rPr>
      <w:fldChar w:fldCharType="separate"/>
    </w:r>
    <w:r w:rsidR="00896A6F">
      <w:rPr>
        <w:rFonts w:ascii="Arial" w:hAnsi="Arial" w:cs="Arial"/>
        <w:sz w:val="16"/>
        <w:szCs w:val="16"/>
      </w:rPr>
      <w:t>1</w:t>
    </w:r>
    <w:r w:rsidR="00896A6F" w:rsidRPr="00B13622">
      <w:rPr>
        <w:rFonts w:ascii="Arial" w:hAnsi="Arial" w:cs="Arial"/>
        <w:sz w:val="16"/>
        <w:szCs w:val="16"/>
      </w:rPr>
      <w:fldChar w:fldCharType="end"/>
    </w:r>
    <w:r w:rsidR="00896A6F" w:rsidRPr="00B13622">
      <w:rPr>
        <w:rFonts w:ascii="Arial" w:hAnsi="Arial" w:cs="Arial"/>
        <w:sz w:val="16"/>
        <w:szCs w:val="16"/>
      </w:rPr>
      <w:t xml:space="preserve"> (celkem </w:t>
    </w:r>
    <w:r w:rsidR="00896A6F" w:rsidRPr="00B13622">
      <w:rPr>
        <w:rFonts w:ascii="Arial" w:hAnsi="Arial" w:cs="Arial"/>
        <w:sz w:val="16"/>
        <w:szCs w:val="16"/>
      </w:rPr>
      <w:fldChar w:fldCharType="begin"/>
    </w:r>
    <w:r w:rsidR="00896A6F" w:rsidRPr="00B13622">
      <w:rPr>
        <w:rFonts w:ascii="Arial" w:hAnsi="Arial" w:cs="Arial"/>
        <w:sz w:val="16"/>
        <w:szCs w:val="16"/>
      </w:rPr>
      <w:instrText>NUMPAGES</w:instrText>
    </w:r>
    <w:r w:rsidR="00896A6F" w:rsidRPr="00B13622">
      <w:rPr>
        <w:rFonts w:ascii="Arial" w:hAnsi="Arial" w:cs="Arial"/>
        <w:sz w:val="16"/>
        <w:szCs w:val="16"/>
      </w:rPr>
      <w:fldChar w:fldCharType="separate"/>
    </w:r>
    <w:r w:rsidR="00896A6F">
      <w:rPr>
        <w:rFonts w:ascii="Arial" w:hAnsi="Arial" w:cs="Arial"/>
        <w:sz w:val="16"/>
        <w:szCs w:val="16"/>
      </w:rPr>
      <w:t>7</w:t>
    </w:r>
    <w:r w:rsidR="00896A6F" w:rsidRPr="00B13622">
      <w:rPr>
        <w:rFonts w:ascii="Arial" w:hAnsi="Arial" w:cs="Arial"/>
        <w:sz w:val="16"/>
        <w:szCs w:val="16"/>
      </w:rPr>
      <w:fldChar w:fldCharType="end"/>
    </w:r>
    <w:r w:rsidR="00896A6F" w:rsidRPr="00B13622">
      <w:rPr>
        <w:rFonts w:ascii="Arial" w:hAnsi="Arial"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EF7EB9D" w14:textId="5D63C27A" w:rsidR="00B13622" w:rsidRPr="00B13622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7E8964" id="Přímá spojnice 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5910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E6098FB" id="Přímá spojnice 2" o:spid="_x0000_s1026" style="position:absolute;flip:y;z-index:251759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</w:t>
                </w:r>
                <w:r w:rsidR="00E90B62">
                  <w:rPr>
                    <w:rFonts w:ascii="Arial" w:hAnsi="Arial" w:cs="Arial"/>
                    <w:sz w:val="16"/>
                    <w:szCs w:val="16"/>
                  </w:rPr>
                  <w:t xml:space="preserve">vrh zadání dokumentu Analýza </w:t>
                </w:r>
                <w:proofErr w:type="spellStart"/>
                <w:r w:rsidR="00E90B62">
                  <w:rPr>
                    <w:rFonts w:ascii="Arial" w:hAnsi="Arial" w:cs="Arial"/>
                    <w:sz w:val="16"/>
                    <w:szCs w:val="16"/>
                  </w:rPr>
                  <w:t>VaVaI</w:t>
                </w:r>
                <w:proofErr w:type="spellEnd"/>
                <w:r w:rsidR="00E90B62">
                  <w:rPr>
                    <w:rFonts w:ascii="Arial" w:hAnsi="Arial" w:cs="Arial"/>
                    <w:sz w:val="16"/>
                    <w:szCs w:val="16"/>
                  </w:rPr>
                  <w:t xml:space="preserve"> 2024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</w:t>
                </w:r>
                <w:r w:rsidR="00E90B62">
                  <w:rPr>
                    <w:rFonts w:ascii="Arial" w:hAnsi="Arial" w:cs="Arial"/>
                    <w:sz w:val="16"/>
                    <w:szCs w:val="16"/>
                  </w:rPr>
                  <w:t>: 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  <w:p w14:paraId="5E8152C5" w14:textId="3816DF92" w:rsidR="00B13622" w:rsidRPr="00B13622" w:rsidRDefault="00DD43A5" w:rsidP="00B13622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  <w:footnote w:id="1">
    <w:p w14:paraId="66B449A1" w14:textId="77777777" w:rsidR="00ED4ADD" w:rsidRDefault="00ED4ADD" w:rsidP="00ED4AD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FE3C1A">
        <w:rPr>
          <w:rFonts w:ascii="Arial" w:hAnsi="Arial" w:cs="Arial"/>
          <w:sz w:val="18"/>
          <w:szCs w:val="18"/>
        </w:rPr>
        <w:t>Projektová aktivita 2.2.10. Datová a analytická podpora přípravy Analýzy stavu VaVaI v ČR a její srovnání se</w:t>
      </w:r>
      <w:r>
        <w:rPr>
          <w:rFonts w:ascii="Arial" w:hAnsi="Arial" w:cs="Arial"/>
          <w:sz w:val="18"/>
          <w:szCs w:val="18"/>
        </w:rPr>
        <w:t> </w:t>
      </w:r>
      <w:r w:rsidRPr="00FE3C1A">
        <w:rPr>
          <w:rFonts w:ascii="Arial" w:hAnsi="Arial" w:cs="Arial"/>
          <w:sz w:val="18"/>
          <w:szCs w:val="18"/>
        </w:rPr>
        <w:t>zahraničím, příp. projektová aktivita 2.2.11 Systémové analýzy ve VaVaI podle aktuálních potřeb.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9666A" w14:textId="77777777" w:rsidR="00CF77DC" w:rsidRDefault="00CF77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88F1E" w14:textId="77777777" w:rsidR="00CF77DC" w:rsidRDefault="00CF77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6934AF62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ED4AD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CF77DC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6934AF62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ED4AD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CF77DC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2092702546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763E8"/>
    <w:multiLevelType w:val="hybridMultilevel"/>
    <w:tmpl w:val="92263A58"/>
    <w:lvl w:ilvl="0" w:tplc="040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64E49"/>
    <w:multiLevelType w:val="hybridMultilevel"/>
    <w:tmpl w:val="165656D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79D435C"/>
    <w:multiLevelType w:val="hybridMultilevel"/>
    <w:tmpl w:val="B402345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51154"/>
    <w:multiLevelType w:val="hybridMultilevel"/>
    <w:tmpl w:val="1EDE95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62406">
      <w:start w:val="2013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5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6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1"/>
  </w:num>
  <w:num w:numId="13" w16cid:durableId="167139912">
    <w:abstractNumId w:val="17"/>
  </w:num>
  <w:num w:numId="14" w16cid:durableId="305205252">
    <w:abstractNumId w:val="27"/>
  </w:num>
  <w:num w:numId="15" w16cid:durableId="864824891">
    <w:abstractNumId w:val="13"/>
  </w:num>
  <w:num w:numId="16" w16cid:durableId="4371459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8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5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2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365058259">
    <w:abstractNumId w:val="26"/>
  </w:num>
  <w:num w:numId="27" w16cid:durableId="405148377">
    <w:abstractNumId w:val="11"/>
  </w:num>
  <w:num w:numId="28" w16cid:durableId="611481009">
    <w:abstractNumId w:val="23"/>
  </w:num>
  <w:num w:numId="29" w16cid:durableId="16635785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07F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14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0F0C0F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57BC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563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B7FA7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3E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2C3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1F23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C6163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9650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7DB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6587F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6A6F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2495"/>
    <w:rsid w:val="0098348B"/>
    <w:rsid w:val="009834F3"/>
    <w:rsid w:val="009908C6"/>
    <w:rsid w:val="00995CCC"/>
    <w:rsid w:val="009969E5"/>
    <w:rsid w:val="009A1C78"/>
    <w:rsid w:val="009A5FB2"/>
    <w:rsid w:val="009A6A4C"/>
    <w:rsid w:val="009B51A9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3638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2D3D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CF77DC"/>
    <w:rsid w:val="00D02186"/>
    <w:rsid w:val="00D02B98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43A5"/>
    <w:rsid w:val="00DD76EA"/>
    <w:rsid w:val="00DE3E0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15659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44E2F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0B62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D4ADD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4A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Odstavec cíl se seznamem,Odstavec se seznamem5,název výzvy,Odstavec se seznamem1,List Paragraph1,List Paragraph,Odstavec_muj1,Odstavec_muj2,Odstavec_muj3,Nad1,Odstavec_muj4,Nad2,List Paragraph2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customStyle="1" w:styleId="Nadpisbezstranky">
    <w:name w:val="Nadpis_bez_stranky"/>
    <w:basedOn w:val="Nadpis3"/>
    <w:uiPriority w:val="99"/>
    <w:rsid w:val="00ED4ADD"/>
    <w:pPr>
      <w:spacing w:before="240" w:after="240"/>
    </w:pPr>
    <w:rPr>
      <w:rFonts w:ascii="Arial" w:eastAsia="Times New Roman" w:hAnsi="Arial" w:cs="Arial"/>
      <w:b/>
      <w:bCs/>
      <w:smallCaps/>
      <w:color w:val="365F91"/>
      <w:sz w:val="26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D4A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Odstavec cíl se seznamem Char,Odstavec se seznamem5 Char,název výzvy Char,Odstavec se seznamem1 Char,List Paragraph1 Char,List Paragraph Char,Odstavec_muj1 Char,Nad1 Char"/>
    <w:link w:val="Odstavecseseznamem"/>
    <w:uiPriority w:val="34"/>
    <w:qFormat/>
    <w:locked/>
    <w:rsid w:val="00ED4AD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E44E2F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sv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s\rvv\Oddeleni%20analyz%20a%20koordinace%20vedy\_Spolecne\Anal&#253;za%20VaVaI_2024\0_Zad&#225;n&#237;\Harmonogram_pripravy_Anal&#253;zy_VaVaI_202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Harmonogram!$A$1</c:f>
              <c:strCache>
                <c:ptCount val="1"/>
                <c:pt idx="0">
                  <c:v>Due Date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14"/>
            <c:spPr>
              <a:solidFill>
                <a:srgbClr val="1F2046"/>
              </a:solidFill>
              <a:ln w="76200" cmpd="thickThin">
                <a:solidFill>
                  <a:schemeClr val="bg1"/>
                </a:solidFill>
              </a:ln>
              <a:effectLst/>
            </c:spPr>
          </c:marke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F792-4E05-B71B-F10C96F536D1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F792-4E05-B71B-F10C96F536D1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F792-4E05-B71B-F10C96F536D1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F792-4E05-B71B-F10C96F536D1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F792-4E05-B71B-F10C96F536D1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F792-4E05-B71B-F10C96F536D1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F792-4E05-B71B-F10C96F536D1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F792-4E05-B71B-F10C96F536D1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fld id="{C7F100B2-2154-4CF1-8F40-48FFA74DCAD9}" type="CELLRANGE">
                      <a:rPr lang="en-US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0-F792-4E05-B71B-F10C96F536D1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613C129C-A6E1-4607-8B5D-90D284EE858B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1-F792-4E05-B71B-F10C96F536D1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45318C5E-4813-4287-B8D2-A368E8C06522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2-F792-4E05-B71B-F10C96F536D1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AAA1AF13-B04D-4A52-AA5C-C263A5D6FEAF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3-F792-4E05-B71B-F10C96F536D1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8D9404D6-B078-4A2D-8CAC-813E02F0ABDF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4-F792-4E05-B71B-F10C96F536D1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F6E9C554-F85F-4BA5-96CB-E491B8135FE4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5-F792-4E05-B71B-F10C96F536D1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82E005FA-4F81-408A-8FD8-0CF91C5DC044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6-F792-4E05-B71B-F10C96F536D1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AC483544-E1AF-49DF-BEC3-442B48E70A2E}" type="CELLRANGE">
                      <a:rPr lang="en-US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03270745003029"/>
                      <c:h val="0.14730050933786079"/>
                    </c:manualLayout>
                  </c15:layout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7-F792-4E05-B71B-F10C96F536D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Roboto" panose="02000000000000000000" pitchFamily="2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Dir val="x"/>
            <c:errBarType val="both"/>
            <c:errValType val="stdErr"/>
            <c:noEndCap val="0"/>
            <c:spPr>
              <a:noFill/>
              <a:ln w="9525" cap="flat" cmpd="sng" algn="ctr">
                <a:noFill/>
                <a:round/>
              </a:ln>
              <a:effectLst/>
            </c:spPr>
          </c:errBars>
          <c:errBars>
            <c:errDir val="y"/>
            <c:errBarType val="minus"/>
            <c:errValType val="percentage"/>
            <c:noEndCap val="1"/>
            <c:val val="100"/>
            <c:spPr>
              <a:noFill/>
              <a:ln w="9525" cap="flat" cmpd="sng" algn="ctr">
                <a:solidFill>
                  <a:schemeClr val="tx1">
                    <a:lumMod val="50000"/>
                    <a:lumOff val="50000"/>
                    <a:alpha val="50000"/>
                  </a:schemeClr>
                </a:solidFill>
                <a:prstDash val="solid"/>
                <a:round/>
              </a:ln>
              <a:effectLst/>
            </c:spPr>
          </c:errBars>
          <c:xVal>
            <c:numRef>
              <c:f>Harmonogram!$A$2:$A$9</c:f>
              <c:numCache>
                <c:formatCode>mmm\-yy</c:formatCode>
                <c:ptCount val="8"/>
                <c:pt idx="0">
                  <c:v>45708</c:v>
                </c:pt>
                <c:pt idx="1">
                  <c:v>45772</c:v>
                </c:pt>
                <c:pt idx="2">
                  <c:v>45810</c:v>
                </c:pt>
                <c:pt idx="3">
                  <c:v>45901</c:v>
                </c:pt>
                <c:pt idx="4">
                  <c:v>45931</c:v>
                </c:pt>
                <c:pt idx="5">
                  <c:v>45962</c:v>
                </c:pt>
                <c:pt idx="6">
                  <c:v>46003</c:v>
                </c:pt>
                <c:pt idx="7">
                  <c:v>46082</c:v>
                </c:pt>
              </c:numCache>
            </c:numRef>
          </c:xVal>
          <c:yVal>
            <c:numRef>
              <c:f>Harmonogram!$D$2:$D$9</c:f>
              <c:numCache>
                <c:formatCode>General</c:formatCode>
                <c:ptCount val="8"/>
                <c:pt idx="0">
                  <c:v>1</c:v>
                </c:pt>
                <c:pt idx="1">
                  <c:v>3.5</c:v>
                </c:pt>
                <c:pt idx="2">
                  <c:v>1</c:v>
                </c:pt>
                <c:pt idx="3">
                  <c:v>2.5</c:v>
                </c:pt>
                <c:pt idx="4">
                  <c:v>1</c:v>
                </c:pt>
                <c:pt idx="5">
                  <c:v>3.5</c:v>
                </c:pt>
                <c:pt idx="6">
                  <c:v>6</c:v>
                </c:pt>
                <c:pt idx="7">
                  <c:v>1</c:v>
                </c:pt>
              </c:numCache>
            </c:numRef>
          </c:yVal>
          <c:smooth val="0"/>
          <c:extLst>
            <c:ext xmlns:c15="http://schemas.microsoft.com/office/drawing/2012/chart" uri="{02D57815-91ED-43cb-92C2-25804820EDAC}">
              <c15:datalabelsRange>
                <c15:f>Harmonogram!$B$2:$B$9</c15:f>
                <c15:dlblRangeCache>
                  <c:ptCount val="8"/>
                  <c:pt idx="0">
                    <c:v>Data IS VaVaI (CEA, CEP) (20.02.2025)</c:v>
                  </c:pt>
                  <c:pt idx="1">
                    <c:v>Návrh zadání Analýzy VaVaI 2024 (25.04.2025)</c:v>
                  </c:pt>
                  <c:pt idx="2">
                    <c:v>Data IS VaVaI (RIV - VO) (02.06.2025)</c:v>
                  </c:pt>
                  <c:pt idx="3">
                    <c:v>Data IS VaVaI (RIV - ostatní subjekty) (01.09.2025)</c:v>
                  </c:pt>
                  <c:pt idx="4">
                    <c:v>Data ČSÚ (říjen 2025)</c:v>
                  </c:pt>
                  <c:pt idx="5">
                    <c:v>Informace o stavu přípravy Analýzy VaVaI 2024</c:v>
                  </c:pt>
                  <c:pt idx="6">
                    <c:v>Pracovní verze Analýzy VaVaI 2024 (12.12.2025)</c:v>
                  </c:pt>
                  <c:pt idx="7">
                    <c:v>Finální verze Analýzy VaVaI 2024, schválení Radou 
(1Q 2026)
Předložení vládě pro informaci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08-F792-4E05-B71B-F10C96F536D1}"/>
            </c:ext>
          </c:extLst>
        </c:ser>
        <c:ser>
          <c:idx val="1"/>
          <c:order val="1"/>
          <c:tx>
            <c:strRef>
              <c:f>Harmonogram!$A$1</c:f>
              <c:strCache>
                <c:ptCount val="1"/>
                <c:pt idx="0">
                  <c:v>Due Date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14"/>
            <c:spPr>
              <a:solidFill>
                <a:srgbClr val="201F46"/>
              </a:solidFill>
              <a:ln w="76200" cmpd="thickThin">
                <a:solidFill>
                  <a:schemeClr val="bg1"/>
                </a:solidFill>
              </a:ln>
              <a:effectLst/>
            </c:spPr>
          </c:marker>
          <c:dLbls>
            <c:dLbl>
              <c:idx val="0"/>
              <c:tx>
                <c:rich>
                  <a:bodyPr/>
                  <a:lstStyle/>
                  <a:p>
                    <a:fld id="{EC6B2B0A-58B3-4C69-8DF1-9551BF4AFA98}" type="CELLRANGE">
                      <a:rPr lang="en-US"/>
                      <a:pPr/>
                      <a:t>[OBLAST BUNĚK]</a:t>
                    </a:fld>
                    <a:endParaRPr lang="cs-CZ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9-F792-4E05-B71B-F10C96F536D1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61B5034C-D6B4-42C0-AC2F-B61D8BF85CFB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A-F792-4E05-B71B-F10C96F536D1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84284460-22F5-415F-87C8-860EEDF4CB03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B-F792-4E05-B71B-F10C96F536D1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B414E37C-1818-444B-B7E4-9D5B0933702F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C-F792-4E05-B71B-F10C96F536D1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EFC32C4A-780C-4C9F-9FF3-4DC863C316C2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D-F792-4E05-B71B-F10C96F536D1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7ED9D936-418F-443F-B9B7-A3C6A2F06B63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E-F792-4E05-B71B-F10C96F536D1}"/>
                </c:ext>
              </c:extLst>
            </c:dLbl>
            <c:dLbl>
              <c:idx val="6"/>
              <c:layout>
                <c:manualLayout>
                  <c:x val="-1.8648018648018648E-3"/>
                  <c:y val="1.0133693407965081E-2"/>
                </c:manualLayout>
              </c:layout>
              <c:tx>
                <c:rich>
                  <a:bodyPr rot="0" spcFirstLastPara="1" vertOverflow="ellipsis" vert="horz" wrap="none" lIns="38100" tIns="19050" rIns="38100" bIns="19050" anchor="ctr" anchorCtr="0">
                    <a:spAutoFit/>
                  </a:bodyPr>
                  <a:lstStyle/>
                  <a:p>
                    <a:pPr algn="r"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fld id="{518E46A5-2768-4FEA-B10C-7973BD7259B3}" type="CELLRANGE">
                      <a:rPr lang="en-US"/>
                      <a:pPr algn="r">
                        <a:defRPr sz="900" b="1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Arial" panose="020B0604020202020204" pitchFamily="34" charset="0"/>
                          <a:ea typeface="+mn-ea"/>
                          <a:cs typeface="Arial" panose="020B0604020202020204" pitchFamily="34" charset="0"/>
                        </a:defRPr>
                      </a:pPr>
                      <a:t>[OBLAST BUNĚK]</a:t>
                    </a:fld>
                    <a:endParaRPr lang="cs-CZ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F-F792-4E05-B71B-F10C96F536D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non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DataLabelsRange val="1"/>
                <c15:showLeaderLines val="0"/>
              </c:ext>
            </c:extLst>
          </c:dLbls>
          <c:errBars>
            <c:errDir val="x"/>
            <c:errBarType val="plus"/>
            <c:errValType val="cust"/>
            <c:noEndCap val="1"/>
            <c:plus>
              <c:numRef>
                <c:f>Harmonogram!$C$12:$C$18</c:f>
                <c:numCache>
                  <c:formatCode>General</c:formatCode>
                  <c:ptCount val="7"/>
                  <c:pt idx="0">
                    <c:v>56</c:v>
                  </c:pt>
                  <c:pt idx="1">
                    <c:v>41</c:v>
                  </c:pt>
                  <c:pt idx="2">
                    <c:v>15</c:v>
                  </c:pt>
                  <c:pt idx="3">
                    <c:v>220</c:v>
                  </c:pt>
                  <c:pt idx="4">
                    <c:v>61</c:v>
                  </c:pt>
                  <c:pt idx="5">
                    <c:v>30</c:v>
                  </c:pt>
                  <c:pt idx="6">
                    <c:v>51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  <c:spPr>
              <a:noFill/>
              <a:ln w="180975" cap="flat" cmpd="sng" algn="ctr">
                <a:solidFill>
                  <a:schemeClr val="bg1">
                    <a:lumMod val="8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minus"/>
            <c:errValType val="percentage"/>
            <c:noEndCap val="1"/>
            <c:val val="100"/>
            <c:spPr>
              <a:noFill/>
              <a:ln w="9525" cap="flat" cmpd="sng" algn="ctr">
                <a:solidFill>
                  <a:schemeClr val="tx1">
                    <a:lumMod val="50000"/>
                    <a:lumOff val="50000"/>
                    <a:alpha val="50000"/>
                  </a:schemeClr>
                </a:solidFill>
                <a:prstDash val="solid"/>
                <a:round/>
              </a:ln>
              <a:effectLst/>
            </c:spPr>
          </c:errBars>
          <c:xVal>
            <c:numRef>
              <c:f>Harmonogram!$A$12:$A$18</c:f>
              <c:numCache>
                <c:formatCode>mmm\-yy</c:formatCode>
                <c:ptCount val="7"/>
                <c:pt idx="0">
                  <c:v>45716</c:v>
                </c:pt>
                <c:pt idx="1">
                  <c:v>45716</c:v>
                </c:pt>
                <c:pt idx="2">
                  <c:v>45757</c:v>
                </c:pt>
                <c:pt idx="3">
                  <c:v>45772</c:v>
                </c:pt>
                <c:pt idx="4">
                  <c:v>45931</c:v>
                </c:pt>
                <c:pt idx="5">
                  <c:v>45992</c:v>
                </c:pt>
                <c:pt idx="6">
                  <c:v>46003</c:v>
                </c:pt>
              </c:numCache>
            </c:numRef>
          </c:xVal>
          <c:yVal>
            <c:numRef>
              <c:f>Harmonogram!$D$12:$D$18</c:f>
              <c:numCache>
                <c:formatCode>General</c:formatCode>
                <c:ptCount val="7"/>
                <c:pt idx="0">
                  <c:v>-2</c:v>
                </c:pt>
                <c:pt idx="1">
                  <c:v>-3</c:v>
                </c:pt>
                <c:pt idx="2">
                  <c:v>-4</c:v>
                </c:pt>
                <c:pt idx="3">
                  <c:v>-5</c:v>
                </c:pt>
                <c:pt idx="4">
                  <c:v>-2</c:v>
                </c:pt>
                <c:pt idx="5">
                  <c:v>-4</c:v>
                </c:pt>
                <c:pt idx="6">
                  <c:v>-3</c:v>
                </c:pt>
              </c:numCache>
            </c:numRef>
          </c:yVal>
          <c:smooth val="0"/>
          <c:extLst>
            <c:ext xmlns:c15="http://schemas.microsoft.com/office/drawing/2012/chart" uri="{02D57815-91ED-43cb-92C2-25804820EDAC}">
              <c15:datalabelsRange>
                <c15:f>Harmonogram!$B$12:$B$18</c15:f>
                <c15:dlblRangeCache>
                  <c:ptCount val="7"/>
                  <c:pt idx="0">
                    <c:v>Příprava návrhu zadání</c:v>
                  </c:pt>
                  <c:pt idx="1">
                    <c:v>Interní konzultace</c:v>
                  </c:pt>
                  <c:pt idx="2">
                    <c:v>K připomínkám členům Rady</c:v>
                  </c:pt>
                  <c:pt idx="3">
                    <c:v>Sběr a analýza dostupných dat</c:v>
                  </c:pt>
                  <c:pt idx="4">
                    <c:v>Kompletace textů</c:v>
                  </c:pt>
                  <c:pt idx="5">
                    <c:v>K připomínkám členům Rady</c:v>
                  </c:pt>
                  <c:pt idx="6">
                    <c:v>Zapracování připomínek, 
textová a grafická korektura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0-F792-4E05-B71B-F10C96F536D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870961520"/>
        <c:axId val="1876329568"/>
      </c:scatterChart>
      <c:valAx>
        <c:axId val="1870961520"/>
        <c:scaling>
          <c:orientation val="minMax"/>
          <c:max val="46100"/>
          <c:min val="45650"/>
        </c:scaling>
        <c:delete val="0"/>
        <c:axPos val="b"/>
        <c:numFmt formatCode="mmm\-yy" sourceLinked="1"/>
        <c:majorTickMark val="none"/>
        <c:minorTickMark val="none"/>
        <c:tickLblPos val="nextTo"/>
        <c:spPr>
          <a:noFill/>
          <a:ln w="88900" cap="flat" cmpd="sng" algn="ctr">
            <a:solidFill>
              <a:srgbClr val="201F4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201F46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76329568"/>
        <c:crosses val="autoZero"/>
        <c:crossBetween val="midCat"/>
        <c:majorUnit val="25"/>
      </c:valAx>
      <c:valAx>
        <c:axId val="187632956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87096152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1990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Palucha Aleš</cp:lastModifiedBy>
  <cp:revision>45</cp:revision>
  <cp:lastPrinted>2020-10-29T10:28:00Z</cp:lastPrinted>
  <dcterms:created xsi:type="dcterms:W3CDTF">2022-08-17T06:35:00Z</dcterms:created>
  <dcterms:modified xsi:type="dcterms:W3CDTF">2025-04-08T10:54:00Z</dcterms:modified>
</cp:coreProperties>
</file>